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6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厦门自贸片区2020年度人才激励政策第一批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0"/>
          <w:szCs w:val="40"/>
        </w:rPr>
        <w:t>拟兑现对象汇总表</w:t>
      </w:r>
    </w:p>
    <w:p>
      <w:pPr>
        <w:ind w:firstLine="803" w:firstLineChars="200"/>
        <w:jc w:val="center"/>
        <w:rPr>
          <w:rFonts w:hint="eastAsia" w:asciiTheme="minorEastAsia" w:hAnsiTheme="minorEastAsia" w:eastAsiaTheme="minorEastAsia"/>
          <w:b/>
          <w:color w:val="000000"/>
          <w:sz w:val="40"/>
          <w:szCs w:val="36"/>
        </w:rPr>
      </w:pPr>
    </w:p>
    <w:p>
      <w:pPr>
        <w:numPr>
          <w:ilvl w:val="0"/>
          <w:numId w:val="1"/>
        </w:num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拟兑现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厦门自贸片区引进和培育顶尖及高层次人才奖励申请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2家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企业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，1个人才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）</w:t>
      </w:r>
    </w:p>
    <w:tbl>
      <w:tblPr>
        <w:tblStyle w:val="3"/>
        <w:tblW w:w="8507" w:type="dxa"/>
        <w:jc w:val="center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9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申领企业名称</w:t>
            </w:r>
          </w:p>
        </w:tc>
        <w:tc>
          <w:tcPr>
            <w:tcW w:w="228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厦门农商金融控股集团有限公司</w:t>
            </w:r>
          </w:p>
        </w:tc>
        <w:tc>
          <w:tcPr>
            <w:tcW w:w="228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27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厦门万翔物流管理有限公司</w:t>
            </w:r>
          </w:p>
        </w:tc>
        <w:tc>
          <w:tcPr>
            <w:tcW w:w="228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10万元</w:t>
            </w:r>
          </w:p>
        </w:tc>
      </w:tr>
    </w:tbl>
    <w:tbl>
      <w:tblPr>
        <w:tblStyle w:val="3"/>
        <w:tblpPr w:leftFromText="180" w:rightFromText="180" w:vertAnchor="text" w:horzAnchor="page" w:tblpX="1837" w:tblpY="28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01"/>
        <w:gridCol w:w="237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用人单位名称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申报人姓名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厦门农商金融控股集团有限公司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徐智艺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5万元</w:t>
            </w:r>
          </w:p>
        </w:tc>
      </w:tr>
    </w:tbl>
    <w:p>
      <w:p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、拟兑现厦门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自贸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片区企业引进重点产业急需紧缺人才奖励（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2家企业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）</w:t>
      </w:r>
    </w:p>
    <w:tbl>
      <w:tblPr>
        <w:tblStyle w:val="3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990"/>
        <w:gridCol w:w="184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6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90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申领企业名称</w:t>
            </w: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申报人姓名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6" w:type="dxa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90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海西黄金（厦门）有限公司</w:t>
            </w: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丘鹏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33580.97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vMerge w:val="restart"/>
            <w:vAlign w:val="center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厦门农商金融控股集团有限公司</w:t>
            </w:r>
          </w:p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张伯沈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46390.73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46" w:type="dxa"/>
            <w:vMerge w:val="continue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vMerge w:val="continue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商雨莉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53068.83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46" w:type="dxa"/>
            <w:vMerge w:val="continue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vMerge w:val="continue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林喆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43154.26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946" w:type="dxa"/>
            <w:vMerge w:val="continue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vMerge w:val="continue"/>
          </w:tcPr>
          <w:p>
            <w:pPr>
              <w:spacing w:before="240"/>
              <w:jc w:val="center"/>
              <w:rPr>
                <w:rFonts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</w:p>
        </w:tc>
        <w:tc>
          <w:tcPr>
            <w:tcW w:w="1843" w:type="dxa"/>
          </w:tcPr>
          <w:p>
            <w:p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总计：</w:t>
            </w:r>
          </w:p>
        </w:tc>
        <w:tc>
          <w:tcPr>
            <w:tcW w:w="1721" w:type="dxa"/>
          </w:tcPr>
          <w:p>
            <w:p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142613.82</w:t>
            </w:r>
          </w:p>
        </w:tc>
      </w:tr>
    </w:tbl>
    <w:p>
      <w:p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三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、拟兑现厦门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自贸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片区企业引进培育高级职称专业技术人才及高技能人才奖励（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1家企业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）</w:t>
      </w:r>
    </w:p>
    <w:tbl>
      <w:tblPr>
        <w:tblStyle w:val="3"/>
        <w:tblpPr w:leftFromText="180" w:rightFromText="180" w:vertAnchor="text" w:horzAnchor="page" w:tblpX="1837" w:tblpY="28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01"/>
        <w:gridCol w:w="237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用人单位名称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申报人姓名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魔毯大宗（厦门）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有限公司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董洪成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1万元</w:t>
            </w:r>
          </w:p>
        </w:tc>
      </w:tr>
    </w:tbl>
    <w:p>
      <w:pPr>
        <w:numPr>
          <w:ilvl w:val="0"/>
          <w:numId w:val="2"/>
        </w:num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拟兑现厦门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自贸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片区校企合作人才培养基地建设经费资助（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2家企业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）</w:t>
      </w:r>
    </w:p>
    <w:tbl>
      <w:tblPr>
        <w:tblStyle w:val="3"/>
        <w:tblpPr w:leftFromText="180" w:rightFromText="180" w:vertAnchor="text" w:horzAnchor="page" w:tblpX="1837" w:tblpY="28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376"/>
        <w:gridCol w:w="360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运营企业名称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基地名称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厦门鼎芯科技有限公司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西安电子科技大学微电子学院产学研基地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厦门传胜企业服务有限公司</w:t>
            </w:r>
          </w:p>
        </w:tc>
        <w:tc>
          <w:tcPr>
            <w:tcW w:w="360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福建船政交通职业学院大学生创新创业实践基地</w:t>
            </w:r>
          </w:p>
        </w:tc>
        <w:tc>
          <w:tcPr>
            <w:tcW w:w="1604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9.77万元</w:t>
            </w:r>
          </w:p>
        </w:tc>
      </w:tr>
    </w:tbl>
    <w:p>
      <w:pPr>
        <w:numPr>
          <w:ilvl w:val="0"/>
          <w:numId w:val="0"/>
        </w:num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</w:p>
    <w:p>
      <w:pPr>
        <w:numPr>
          <w:ilvl w:val="0"/>
          <w:numId w:val="2"/>
        </w:numPr>
        <w:spacing w:before="240"/>
        <w:rPr>
          <w:rFonts w:hint="eastAsia" w:ascii="仿宋" w:hAnsi="仿宋" w:eastAsia="仿宋"/>
          <w:b/>
          <w:color w:val="000000"/>
          <w:sz w:val="32"/>
          <w:szCs w:val="28"/>
        </w:rPr>
      </w:pPr>
      <w:r>
        <w:rPr>
          <w:rFonts w:hint="eastAsia" w:ascii="仿宋" w:hAnsi="仿宋" w:eastAsia="仿宋"/>
          <w:b/>
          <w:color w:val="000000"/>
          <w:sz w:val="32"/>
          <w:szCs w:val="28"/>
        </w:rPr>
        <w:t>拟兑现厦门</w:t>
      </w:r>
      <w:r>
        <w:rPr>
          <w:rFonts w:hint="eastAsia" w:ascii="仿宋" w:hAnsi="仿宋" w:eastAsia="仿宋"/>
          <w:b/>
          <w:color w:val="000000"/>
          <w:sz w:val="32"/>
          <w:szCs w:val="28"/>
          <w:lang w:eastAsia="zh-CN"/>
        </w:rPr>
        <w:t>自贸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片区市级以上创业孵化示范基地奖励（</w:t>
      </w:r>
      <w:r>
        <w:rPr>
          <w:rFonts w:hint="eastAsia" w:ascii="仿宋" w:hAnsi="仿宋" w:eastAsia="仿宋"/>
          <w:b/>
          <w:color w:val="000000"/>
          <w:sz w:val="32"/>
          <w:szCs w:val="28"/>
          <w:lang w:val="en-US" w:eastAsia="zh-CN"/>
        </w:rPr>
        <w:t>1家企业</w:t>
      </w:r>
      <w:r>
        <w:rPr>
          <w:rFonts w:hint="eastAsia" w:ascii="仿宋" w:hAnsi="仿宋" w:eastAsia="仿宋"/>
          <w:b/>
          <w:color w:val="000000"/>
          <w:sz w:val="32"/>
          <w:szCs w:val="28"/>
        </w:rPr>
        <w:t>）</w:t>
      </w:r>
    </w:p>
    <w:tbl>
      <w:tblPr>
        <w:tblStyle w:val="3"/>
        <w:tblpPr w:leftFromText="180" w:rightFromText="180" w:vertAnchor="text" w:horzAnchor="page" w:tblpX="1837" w:tblpY="288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321"/>
        <w:gridCol w:w="229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2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运营企业名称</w:t>
            </w:r>
          </w:p>
        </w:tc>
        <w:tc>
          <w:tcPr>
            <w:tcW w:w="229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创业孵化示范基地名称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79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21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</w:rPr>
              <w:t>厦门象屿自贸区开发有限公司</w:t>
            </w:r>
          </w:p>
        </w:tc>
        <w:tc>
          <w:tcPr>
            <w:tcW w:w="229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eastAsia="zh-CN"/>
              </w:rPr>
              <w:t>厦门跨境电商产业园</w:t>
            </w:r>
          </w:p>
        </w:tc>
        <w:tc>
          <w:tcPr>
            <w:tcW w:w="1965" w:type="dxa"/>
          </w:tcPr>
          <w:p>
            <w:pPr>
              <w:numPr>
                <w:ilvl w:val="0"/>
                <w:numId w:val="0"/>
              </w:numPr>
              <w:spacing w:before="240"/>
              <w:jc w:val="center"/>
              <w:rPr>
                <w:rFonts w:hint="default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32"/>
                <w:szCs w:val="28"/>
                <w:vertAlign w:val="baseline"/>
                <w:lang w:val="en-US" w:eastAsia="zh-CN"/>
              </w:rPr>
              <w:t>25万元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535AB2"/>
    <w:multiLevelType w:val="singleLevel"/>
    <w:tmpl w:val="FC535AB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F4B910"/>
    <w:multiLevelType w:val="singleLevel"/>
    <w:tmpl w:val="4DF4B9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425F"/>
    <w:rsid w:val="2AA8425F"/>
    <w:rsid w:val="373B3550"/>
    <w:rsid w:val="7E7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2020-10-14T02:20:00Z</dcterms:created>
  <dc:creator>王斯</dc:creator>
  <cp:lastModifiedBy>王斯</cp:lastModifiedBy>
  <dcterms:modified xsi:type="dcterms:W3CDTF">2020-10-14T02:20:50Z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