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80" w:lineRule="exact"/>
        <w:jc w:val="center"/>
        <w:rPr>
          <w:rFonts w:ascii="黑体" w:hAnsi="黑体" w:eastAsia="黑体"/>
          <w:sz w:val="36"/>
          <w:szCs w:val="36"/>
          <w:highlight w:val="none"/>
        </w:rPr>
      </w:pPr>
      <w:r>
        <w:rPr>
          <w:rFonts w:hint="eastAsia" w:ascii="黑体" w:hAnsi="黑体" w:eastAsia="黑体"/>
          <w:sz w:val="36"/>
          <w:szCs w:val="36"/>
          <w:highlight w:val="none"/>
        </w:rPr>
        <w:t>中国（福建）自由贸易试验区厦门片区</w:t>
      </w:r>
    </w:p>
    <w:p>
      <w:pPr>
        <w:shd w:val="clear"/>
        <w:spacing w:line="580" w:lineRule="exact"/>
        <w:jc w:val="center"/>
        <w:rPr>
          <w:rFonts w:ascii="黑体" w:hAnsi="黑体" w:eastAsia="黑体"/>
          <w:sz w:val="36"/>
          <w:szCs w:val="36"/>
          <w:highlight w:val="none"/>
        </w:rPr>
      </w:pPr>
      <w:r>
        <w:rPr>
          <w:rFonts w:hint="eastAsia" w:ascii="黑体" w:hAnsi="黑体" w:eastAsia="黑体"/>
          <w:sz w:val="36"/>
          <w:szCs w:val="36"/>
          <w:highlight w:val="none"/>
        </w:rPr>
        <w:t>产业引导基金管理办法（2020版）</w:t>
      </w:r>
    </w:p>
    <w:p>
      <w:pPr>
        <w:shd w:val="clear"/>
        <w:spacing w:line="580" w:lineRule="exact"/>
        <w:ind w:firstLine="640" w:firstLineChars="200"/>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第一章</w:t>
      </w:r>
      <w:r>
        <w:rPr>
          <w:rFonts w:ascii="仿宋" w:hAnsi="仿宋" w:eastAsia="仿宋"/>
          <w:b/>
          <w:sz w:val="32"/>
          <w:szCs w:val="32"/>
          <w:highlight w:val="none"/>
        </w:rPr>
        <w:t xml:space="preserve"> </w:t>
      </w:r>
      <w:r>
        <w:rPr>
          <w:rFonts w:hint="eastAsia" w:ascii="仿宋" w:hAnsi="仿宋" w:eastAsia="仿宋"/>
          <w:b/>
          <w:sz w:val="32"/>
          <w:szCs w:val="32"/>
          <w:highlight w:val="none"/>
        </w:rPr>
        <w:t>总则</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第一条</w:t>
      </w:r>
      <w:r>
        <w:rPr>
          <w:rFonts w:ascii="仿宋" w:hAnsi="仿宋" w:eastAsia="仿宋"/>
          <w:sz w:val="32"/>
          <w:szCs w:val="32"/>
          <w:highlight w:val="none"/>
        </w:rPr>
        <w:t xml:space="preserve"> </w:t>
      </w:r>
      <w:r>
        <w:rPr>
          <w:rFonts w:hint="eastAsia" w:ascii="仿宋" w:hAnsi="仿宋" w:eastAsia="仿宋"/>
          <w:sz w:val="32"/>
          <w:szCs w:val="32"/>
          <w:highlight w:val="none"/>
        </w:rPr>
        <w:t>为规范中国（福建）自由贸易试验区厦门片区产业引导基金（以下简称“引导基金”）管理，根据《国务院办公厅转发发展改革委等部门关于创业投资引导基金规范设立与运作指导意见的通知》（国办发</w:t>
      </w:r>
      <w:r>
        <w:rPr>
          <w:rFonts w:ascii="仿宋" w:hAnsi="仿宋" w:eastAsia="仿宋"/>
          <w:sz w:val="32"/>
          <w:szCs w:val="32"/>
          <w:highlight w:val="none"/>
        </w:rPr>
        <w:t>[2008]116号）</w:t>
      </w:r>
      <w:r>
        <w:rPr>
          <w:rFonts w:hint="eastAsia" w:ascii="仿宋" w:hAnsi="仿宋" w:eastAsia="仿宋"/>
          <w:sz w:val="32"/>
          <w:szCs w:val="32"/>
          <w:highlight w:val="none"/>
          <w:lang w:eastAsia="zh-CN"/>
        </w:rPr>
        <w:t>、国家发展改革委《政府出资产业投资基金管理暂行办法》（发改财金规</w:t>
      </w:r>
      <w:r>
        <w:rPr>
          <w:rFonts w:hint="eastAsia" w:ascii="仿宋" w:hAnsi="仿宋" w:eastAsia="仿宋"/>
          <w:sz w:val="32"/>
          <w:szCs w:val="32"/>
          <w:highlight w:val="none"/>
          <w:lang w:val="en-US" w:eastAsia="zh-CN"/>
        </w:rPr>
        <w:t>[2016]2800号</w:t>
      </w:r>
      <w:r>
        <w:rPr>
          <w:rFonts w:hint="eastAsia" w:ascii="仿宋" w:hAnsi="仿宋" w:eastAsia="仿宋"/>
          <w:sz w:val="32"/>
          <w:szCs w:val="32"/>
          <w:highlight w:val="none"/>
          <w:lang w:eastAsia="zh-CN"/>
        </w:rPr>
        <w:t>）</w:t>
      </w:r>
      <w:r>
        <w:rPr>
          <w:rFonts w:ascii="仿宋" w:hAnsi="仿宋" w:eastAsia="仿宋"/>
          <w:sz w:val="32"/>
          <w:szCs w:val="32"/>
          <w:highlight w:val="none"/>
        </w:rPr>
        <w:t>等文件，结合厦门自贸片区实际，制订本办法。</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第二条</w:t>
      </w:r>
      <w:r>
        <w:rPr>
          <w:rFonts w:ascii="仿宋" w:hAnsi="仿宋" w:eastAsia="仿宋"/>
          <w:sz w:val="32"/>
          <w:szCs w:val="32"/>
          <w:highlight w:val="none"/>
        </w:rPr>
        <w:t xml:space="preserve"> </w:t>
      </w:r>
      <w:r>
        <w:rPr>
          <w:rFonts w:hint="eastAsia" w:ascii="仿宋" w:hAnsi="仿宋" w:eastAsia="仿宋"/>
          <w:sz w:val="32"/>
          <w:szCs w:val="32"/>
          <w:highlight w:val="none"/>
        </w:rPr>
        <w:t>本办法所称引导基金，是指由中国（福建）自由贸易试验区厦门片区管委会（以下简称“管委会”）出资设立并按照市场化方式运作的政策性基金，其宗旨是发挥财政资金的杠杆放大效应，引导社会资金加大对厦门自贸片区范围内航运物流、口岸进出口、保税</w:t>
      </w:r>
      <w:r>
        <w:rPr>
          <w:rFonts w:hint="eastAsia" w:ascii="仿宋" w:hAnsi="仿宋" w:eastAsia="仿宋"/>
          <w:sz w:val="32"/>
          <w:szCs w:val="32"/>
          <w:highlight w:val="none"/>
          <w:lang w:eastAsia="zh-CN"/>
        </w:rPr>
        <w:t>仓储</w:t>
      </w:r>
      <w:r>
        <w:rPr>
          <w:rFonts w:hint="eastAsia" w:ascii="仿宋" w:hAnsi="仿宋" w:eastAsia="仿宋"/>
          <w:sz w:val="32"/>
          <w:szCs w:val="32"/>
          <w:highlight w:val="none"/>
        </w:rPr>
        <w:t>、加工增值、服务外包、大宗商品交易等现代临港产业，高新技术研发、信息消费、临空产业、国际贸易服务、金融服务、专业服务、</w:t>
      </w:r>
      <w:r>
        <w:rPr>
          <w:rFonts w:hint="eastAsia" w:ascii="仿宋" w:hAnsi="仿宋" w:eastAsia="仿宋"/>
          <w:sz w:val="32"/>
          <w:szCs w:val="32"/>
          <w:highlight w:val="none"/>
          <w:lang w:val="en-US" w:eastAsia="zh-CN"/>
        </w:rPr>
        <w:t>数字经济、文化产业、</w:t>
      </w:r>
      <w:r>
        <w:rPr>
          <w:rFonts w:hint="eastAsia" w:ascii="仿宋" w:hAnsi="仿宋" w:eastAsia="仿宋"/>
          <w:sz w:val="32"/>
          <w:szCs w:val="32"/>
          <w:highlight w:val="none"/>
        </w:rPr>
        <w:t>邮轮经济等新兴产业和高端服务业</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自贸区重点平台相关产业</w:t>
      </w:r>
      <w:r>
        <w:rPr>
          <w:rFonts w:hint="eastAsia" w:ascii="仿宋" w:hAnsi="仿宋" w:eastAsia="仿宋"/>
          <w:sz w:val="32"/>
          <w:szCs w:val="32"/>
          <w:highlight w:val="none"/>
        </w:rPr>
        <w:t>，以及与片区内重点产业协同发展的厦门市企业的投资。引导基金可参股投资股权投资基金、并购基金，也可以直接投资项目公司。由引导基金参股投资的基金统称为引导基金的子基金。</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第三条</w:t>
      </w:r>
      <w:r>
        <w:rPr>
          <w:rFonts w:ascii="仿宋" w:hAnsi="仿宋" w:eastAsia="仿宋"/>
          <w:sz w:val="32"/>
          <w:szCs w:val="32"/>
          <w:highlight w:val="none"/>
        </w:rPr>
        <w:t xml:space="preserve"> </w:t>
      </w:r>
      <w:r>
        <w:rPr>
          <w:rFonts w:hint="eastAsia" w:ascii="仿宋" w:hAnsi="仿宋" w:eastAsia="仿宋"/>
          <w:sz w:val="32"/>
          <w:szCs w:val="32"/>
          <w:highlight w:val="none"/>
        </w:rPr>
        <w:t>引导基金资金来源主要包括：</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（一）管委会的财政性专项资金；</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（二）引导基金运作产生的收益；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（三）个人、企业或社会机构无偿捐赠的资金；</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（四）其他资金来源。</w:t>
      </w:r>
    </w:p>
    <w:p>
      <w:pPr>
        <w:shd w:val="clear"/>
        <w:spacing w:line="580" w:lineRule="exact"/>
        <w:ind w:firstLine="640" w:firstLineChars="200"/>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第二章</w:t>
      </w:r>
      <w:r>
        <w:rPr>
          <w:rFonts w:ascii="仿宋" w:hAnsi="仿宋" w:eastAsia="仿宋"/>
          <w:b/>
          <w:sz w:val="32"/>
          <w:szCs w:val="32"/>
          <w:highlight w:val="none"/>
        </w:rPr>
        <w:t xml:space="preserve"> </w:t>
      </w:r>
      <w:r>
        <w:rPr>
          <w:rFonts w:hint="eastAsia" w:ascii="仿宋" w:hAnsi="仿宋" w:eastAsia="仿宋"/>
          <w:b/>
          <w:sz w:val="32"/>
          <w:szCs w:val="32"/>
          <w:highlight w:val="none"/>
        </w:rPr>
        <w:t>组织架构</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第四条</w:t>
      </w:r>
      <w:r>
        <w:rPr>
          <w:rFonts w:ascii="仿宋" w:hAnsi="仿宋" w:eastAsia="仿宋"/>
          <w:sz w:val="32"/>
          <w:szCs w:val="32"/>
          <w:highlight w:val="none"/>
        </w:rPr>
        <w:t xml:space="preserve"> </w:t>
      </w:r>
      <w:r>
        <w:rPr>
          <w:rFonts w:hint="eastAsia" w:ascii="仿宋" w:hAnsi="仿宋" w:eastAsia="仿宋"/>
          <w:sz w:val="32"/>
          <w:szCs w:val="32"/>
          <w:highlight w:val="none"/>
        </w:rPr>
        <w:t>设立厦门自贸片区产业引导基金联席会议（以下简称“联席会议”）作为引导基金的最高决策机构。联席会议由管委会分管领导担任主任</w:t>
      </w:r>
      <w:r>
        <w:rPr>
          <w:rFonts w:ascii="仿宋" w:hAnsi="仿宋" w:eastAsia="仿宋"/>
          <w:sz w:val="32"/>
          <w:szCs w:val="32"/>
          <w:highlight w:val="none"/>
        </w:rPr>
        <w:t>,厦门</w:t>
      </w:r>
      <w:r>
        <w:rPr>
          <w:rFonts w:hint="eastAsia" w:ascii="仿宋" w:hAnsi="仿宋" w:eastAsia="仿宋"/>
          <w:sz w:val="32"/>
          <w:szCs w:val="32"/>
          <w:highlight w:val="none"/>
          <w:lang w:eastAsia="zh-CN"/>
        </w:rPr>
        <w:t>自贸</w:t>
      </w:r>
      <w:r>
        <w:rPr>
          <w:rFonts w:ascii="仿宋" w:hAnsi="仿宋" w:eastAsia="仿宋"/>
          <w:sz w:val="32"/>
          <w:szCs w:val="32"/>
          <w:highlight w:val="none"/>
        </w:rPr>
        <w:t>片区管委会财政与金融服务局、经济发展局、政策法规局、规划建设局和受托管理机构等有关部门各一名主要负责人任成员。联席会议主要职责：</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（一）确定引导基金的投资方向和投资原则；</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（二）负责引导基金参股和投资退出等重大事项的决策；</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（三）审查批准引导基金投资、管理、风险控制、退出和考核等相关制度；</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（四）对引导基金运作的决策目标、政策效果及其资金资产情况进行评估；</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（五）审议引导基金受托管理机构提交的年度投资计划、投资运作报告；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（六）对引导基金进行监督和指导，对引导基金投资形成的资产进行监督和绩效考核，并由审计部门对引导基金进行审计</w:t>
      </w:r>
      <w:r>
        <w:rPr>
          <w:rFonts w:ascii="仿宋" w:hAnsi="仿宋" w:eastAsia="仿宋"/>
          <w:sz w:val="32"/>
          <w:szCs w:val="32"/>
          <w:highlight w:val="none"/>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（七）如果属于重大事项，联席会议需向厦门自贸片区管委会再报告。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第五条</w:t>
      </w:r>
      <w:r>
        <w:rPr>
          <w:rFonts w:ascii="仿宋" w:hAnsi="仿宋" w:eastAsia="仿宋"/>
          <w:sz w:val="32"/>
          <w:szCs w:val="32"/>
          <w:highlight w:val="none"/>
        </w:rPr>
        <w:t xml:space="preserve"> </w:t>
      </w:r>
      <w:r>
        <w:rPr>
          <w:rFonts w:hint="eastAsia" w:ascii="仿宋" w:hAnsi="仿宋" w:eastAsia="仿宋"/>
          <w:sz w:val="32"/>
          <w:szCs w:val="32"/>
          <w:highlight w:val="none"/>
        </w:rPr>
        <w:t>联席会议下设办公室，办公室设在厦门自贸片区财政与金融服务局，负责日常事务，其主要职责包括：</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（一）组织召开</w:t>
      </w:r>
      <w:r>
        <w:rPr>
          <w:rFonts w:hint="eastAsia" w:ascii="仿宋" w:hAnsi="仿宋" w:eastAsia="仿宋"/>
          <w:sz w:val="32"/>
          <w:szCs w:val="32"/>
          <w:highlight w:val="none"/>
          <w:lang w:val="en-US" w:eastAsia="zh-CN"/>
        </w:rPr>
        <w:t>引导基金专家评审会、</w:t>
      </w:r>
      <w:r>
        <w:rPr>
          <w:rFonts w:hint="eastAsia" w:ascii="仿宋" w:hAnsi="仿宋" w:eastAsia="仿宋"/>
          <w:sz w:val="32"/>
          <w:szCs w:val="32"/>
          <w:highlight w:val="none"/>
        </w:rPr>
        <w:t>联席会议，拟定引导基金的相关管理制度；</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（二）编制引导基金年度预算与年度决算；</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（三）监督受托管理机构执行联席会议决议；</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（四）对引导基金受托管理机构履行职责情况进行考核，并定期向联席会议报告引导基金管理运行情况和重大投资、决策等事项；</w:t>
      </w:r>
    </w:p>
    <w:p>
      <w:pPr>
        <w:shd w:val="clear"/>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（五）</w:t>
      </w:r>
      <w:r>
        <w:rPr>
          <w:rFonts w:hint="eastAsia" w:ascii="仿宋" w:hAnsi="仿宋" w:eastAsia="仿宋"/>
          <w:sz w:val="32"/>
          <w:szCs w:val="32"/>
          <w:highlight w:val="none"/>
          <w:lang w:val="en-US" w:eastAsia="zh-CN"/>
        </w:rPr>
        <w:t>对子基金返投情况进行认定</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lang w:eastAsia="zh-CN"/>
        </w:rPr>
        <w:t>）</w:t>
      </w:r>
      <w:r>
        <w:rPr>
          <w:rFonts w:hint="eastAsia" w:ascii="仿宋" w:hAnsi="仿宋" w:eastAsia="仿宋"/>
          <w:sz w:val="32"/>
          <w:szCs w:val="32"/>
          <w:highlight w:val="none"/>
        </w:rPr>
        <w:t>执行联席会议交办的其他工作。</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第六条</w:t>
      </w:r>
      <w:r>
        <w:rPr>
          <w:rFonts w:ascii="仿宋" w:hAnsi="仿宋" w:eastAsia="仿宋"/>
          <w:sz w:val="32"/>
          <w:szCs w:val="32"/>
          <w:highlight w:val="none"/>
        </w:rPr>
        <w:t xml:space="preserve"> </w:t>
      </w:r>
      <w:r>
        <w:rPr>
          <w:rFonts w:hint="eastAsia" w:ascii="仿宋" w:hAnsi="仿宋" w:eastAsia="仿宋"/>
          <w:sz w:val="32"/>
          <w:szCs w:val="32"/>
          <w:highlight w:val="none"/>
        </w:rPr>
        <w:t>管委会根据引导基金运行实际需要，选择</w:t>
      </w:r>
      <w:r>
        <w:rPr>
          <w:rFonts w:hint="eastAsia" w:ascii="仿宋" w:hAnsi="仿宋" w:eastAsia="仿宋"/>
          <w:sz w:val="32"/>
          <w:szCs w:val="32"/>
          <w:highlight w:val="none"/>
          <w:lang w:val="en-US" w:eastAsia="zh-CN"/>
        </w:rPr>
        <w:t>合适的</w:t>
      </w:r>
      <w:r>
        <w:rPr>
          <w:rFonts w:hint="eastAsia" w:ascii="仿宋" w:hAnsi="仿宋" w:eastAsia="仿宋"/>
          <w:sz w:val="32"/>
          <w:szCs w:val="32"/>
          <w:highlight w:val="none"/>
        </w:rPr>
        <w:t>引导基金受托管理机构（以下简称“管理机构”）</w:t>
      </w:r>
      <w:r>
        <w:rPr>
          <w:rFonts w:hint="eastAsia" w:ascii="仿宋" w:hAnsi="仿宋" w:eastAsia="仿宋"/>
          <w:sz w:val="32"/>
          <w:szCs w:val="32"/>
          <w:highlight w:val="none"/>
          <w:lang w:eastAsia="zh-CN"/>
        </w:rPr>
        <w:t>。</w:t>
      </w:r>
      <w:r>
        <w:rPr>
          <w:rFonts w:hint="eastAsia" w:ascii="仿宋" w:hAnsi="仿宋" w:eastAsia="仿宋"/>
          <w:sz w:val="32"/>
          <w:szCs w:val="32"/>
          <w:highlight w:val="none"/>
        </w:rPr>
        <w:t>管理机构主要职责：</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rPr>
        <w:t>一</w:t>
      </w:r>
      <w:r>
        <w:rPr>
          <w:rFonts w:ascii="仿宋" w:hAnsi="仿宋" w:eastAsia="仿宋"/>
          <w:sz w:val="32"/>
          <w:szCs w:val="32"/>
          <w:highlight w:val="none"/>
        </w:rPr>
        <w:t xml:space="preserve">) </w:t>
      </w:r>
      <w:r>
        <w:rPr>
          <w:rFonts w:hint="eastAsia" w:ascii="仿宋" w:hAnsi="仿宋" w:eastAsia="仿宋"/>
          <w:sz w:val="32"/>
          <w:szCs w:val="32"/>
          <w:highlight w:val="none"/>
        </w:rPr>
        <w:t>协助提请召开联席会议，执行联席会议的决议；</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(二) </w:t>
      </w:r>
      <w:r>
        <w:rPr>
          <w:rFonts w:hint="eastAsia" w:ascii="仿宋" w:hAnsi="仿宋" w:eastAsia="仿宋"/>
          <w:sz w:val="32"/>
          <w:szCs w:val="32"/>
          <w:highlight w:val="none"/>
        </w:rPr>
        <w:t>对拟参股投资的创投机构或投资项目进行尽职调查，在审慎评估的基础上提出初审意见和投资方案；</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(三) </w:t>
      </w:r>
      <w:r>
        <w:rPr>
          <w:rFonts w:hint="eastAsia" w:ascii="仿宋" w:hAnsi="仿宋" w:eastAsia="仿宋"/>
          <w:sz w:val="32"/>
          <w:szCs w:val="32"/>
          <w:highlight w:val="none"/>
        </w:rPr>
        <w:t>将尽职调查报告和初审意见及投资方案报联席会议审议通过后实施，并对投资形成的股权等相关资产及投资项目进行后续管理；</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(四) </w:t>
      </w:r>
      <w:r>
        <w:rPr>
          <w:rFonts w:hint="eastAsia" w:ascii="仿宋" w:hAnsi="仿宋" w:eastAsia="仿宋"/>
          <w:sz w:val="32"/>
          <w:szCs w:val="32"/>
          <w:highlight w:val="none"/>
        </w:rPr>
        <w:t>代表引导基金以出资额为限行使出资人权力，根据实际需要，向子基金和项目公司派驻代表，参与子基金和项目公司的重大决策，监督其投资及运营方向；</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(五) </w:t>
      </w:r>
      <w:r>
        <w:rPr>
          <w:rFonts w:hint="eastAsia" w:ascii="仿宋" w:hAnsi="仿宋" w:eastAsia="仿宋"/>
          <w:sz w:val="32"/>
          <w:szCs w:val="32"/>
          <w:highlight w:val="none"/>
        </w:rPr>
        <w:t>负责引导基金的对外投资、子基金日常管理和退出等工作，定期向联席会议办公室报告批复投资子基金的运行情况和其他重大事项；</w:t>
      </w:r>
    </w:p>
    <w:p>
      <w:pPr>
        <w:shd w:val="clea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 xml:space="preserve">(六) </w:t>
      </w:r>
      <w:r>
        <w:rPr>
          <w:rFonts w:hint="eastAsia" w:ascii="仿宋" w:hAnsi="仿宋" w:eastAsia="仿宋"/>
          <w:sz w:val="32"/>
          <w:szCs w:val="32"/>
          <w:highlight w:val="none"/>
        </w:rPr>
        <w:t>承办联席会议交办的其他事项</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管理机构除了上述职责外，还需负责引导基金本身的日常管理，包括但不限于汇总情况、政府系统备案、基金保值增值、年度审计等。　</w:t>
      </w: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第三章</w:t>
      </w:r>
      <w:r>
        <w:rPr>
          <w:rFonts w:ascii="仿宋" w:hAnsi="仿宋" w:eastAsia="仿宋"/>
          <w:b/>
          <w:sz w:val="32"/>
          <w:szCs w:val="32"/>
          <w:highlight w:val="none"/>
        </w:rPr>
        <w:t xml:space="preserve"> </w:t>
      </w:r>
      <w:r>
        <w:rPr>
          <w:rFonts w:hint="eastAsia" w:ascii="仿宋" w:hAnsi="仿宋" w:eastAsia="仿宋"/>
          <w:b/>
          <w:sz w:val="32"/>
          <w:szCs w:val="32"/>
          <w:highlight w:val="none"/>
        </w:rPr>
        <w:t>运作方式</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第七条</w:t>
      </w:r>
      <w:r>
        <w:rPr>
          <w:rFonts w:ascii="仿宋" w:hAnsi="仿宋" w:eastAsia="仿宋"/>
          <w:sz w:val="32"/>
          <w:szCs w:val="32"/>
          <w:highlight w:val="none"/>
        </w:rPr>
        <w:t xml:space="preserve"> </w:t>
      </w:r>
      <w:r>
        <w:rPr>
          <w:rFonts w:hint="eastAsia" w:ascii="仿宋" w:hAnsi="仿宋" w:eastAsia="仿宋"/>
          <w:sz w:val="32"/>
          <w:szCs w:val="32"/>
          <w:highlight w:val="none"/>
        </w:rPr>
        <w:t>引导基金按照“政府引导、市场运作、科学决策、防范风险”的原则进行投资运作。</w:t>
      </w:r>
    </w:p>
    <w:p>
      <w:pPr>
        <w:shd w:val="clear"/>
        <w:spacing w:line="58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第八条</w:t>
      </w:r>
      <w:r>
        <w:rPr>
          <w:rFonts w:ascii="仿宋" w:hAnsi="仿宋" w:eastAsia="仿宋"/>
          <w:sz w:val="32"/>
          <w:szCs w:val="32"/>
          <w:highlight w:val="none"/>
        </w:rPr>
        <w:t xml:space="preserve"> </w:t>
      </w:r>
      <w:r>
        <w:rPr>
          <w:rFonts w:hint="eastAsia" w:ascii="仿宋" w:hAnsi="仿宋" w:eastAsia="仿宋"/>
          <w:sz w:val="32"/>
          <w:szCs w:val="32"/>
          <w:highlight w:val="none"/>
        </w:rPr>
        <w:t>引导基金主要采取参股投资的方式运作。参股投资，一是指引导基金通过参股方式，吸引社会资本共同在厦门市发起设立股权投资基金，或通过增资方式参与现有股权投资基金，二是指直接投资项目公司，通过新设公司、受让股权或增资方式直接参与项目公司的部分股权投资的一种运作方式。</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第九条</w:t>
      </w:r>
      <w:r>
        <w:rPr>
          <w:rFonts w:ascii="仿宋" w:hAnsi="仿宋" w:eastAsia="仿宋"/>
          <w:sz w:val="32"/>
          <w:szCs w:val="32"/>
          <w:highlight w:val="none"/>
        </w:rPr>
        <w:t xml:space="preserve"> </w:t>
      </w:r>
      <w:r>
        <w:rPr>
          <w:rFonts w:hint="eastAsia" w:ascii="仿宋" w:hAnsi="仿宋" w:eastAsia="仿宋"/>
          <w:sz w:val="32"/>
          <w:szCs w:val="32"/>
          <w:highlight w:val="none"/>
        </w:rPr>
        <w:t>引导基金对参股投资子基金的具体要求如下：</w:t>
      </w:r>
    </w:p>
    <w:p>
      <w:pPr>
        <w:pStyle w:val="4"/>
        <w:shd w:val="clear"/>
        <w:spacing w:before="1" w:after="156" w:afterLines="50" w:line="560" w:lineRule="exact"/>
        <w:ind w:firstLine="480"/>
        <w:jc w:val="both"/>
        <w:rPr>
          <w:rFonts w:hint="eastAsia" w:ascii="仿宋" w:hAnsi="仿宋" w:eastAsia="仿宋"/>
          <w:sz w:val="30"/>
          <w:szCs w:val="30"/>
          <w:highlight w:val="none"/>
          <w:lang w:eastAsia="zh-CN"/>
        </w:rPr>
      </w:pPr>
      <w:r>
        <w:rPr>
          <w:rFonts w:hint="eastAsia" w:ascii="仿宋" w:hAnsi="仿宋" w:eastAsia="仿宋"/>
          <w:sz w:val="32"/>
          <w:szCs w:val="32"/>
          <w:highlight w:val="none"/>
          <w:lang w:eastAsia="zh-CN"/>
        </w:rPr>
        <w:t>（一）投资规模。引导基金原则上以引导为主，以较小的资金引导社会资本参与投资。引导基金的参股比例原则上不超过子基金注册资本或实际出资额的</w:t>
      </w:r>
      <w:r>
        <w:rPr>
          <w:rFonts w:ascii="仿宋" w:hAnsi="仿宋" w:eastAsia="仿宋"/>
          <w:sz w:val="32"/>
          <w:szCs w:val="32"/>
          <w:highlight w:val="none"/>
          <w:lang w:eastAsia="zh-CN"/>
        </w:rPr>
        <w:t>30%，且不成为</w:t>
      </w:r>
      <w:r>
        <w:rPr>
          <w:rFonts w:hint="eastAsia" w:ascii="仿宋" w:hAnsi="仿宋" w:eastAsia="仿宋"/>
          <w:sz w:val="32"/>
          <w:szCs w:val="32"/>
          <w:highlight w:val="none"/>
          <w:lang w:eastAsia="zh-CN"/>
        </w:rPr>
        <w:t>子基金的第一大出资人，对于片区内鼓励发展的产业和优质基金，经联席会议批准可适当放宽参股比例，但不超过</w:t>
      </w:r>
      <w:r>
        <w:rPr>
          <w:rFonts w:ascii="仿宋" w:hAnsi="仿宋" w:eastAsia="仿宋"/>
          <w:sz w:val="32"/>
          <w:szCs w:val="32"/>
          <w:highlight w:val="none"/>
          <w:lang w:eastAsia="zh-CN"/>
        </w:rPr>
        <w:t>50%，每只</w:t>
      </w:r>
      <w:r>
        <w:rPr>
          <w:rFonts w:hint="eastAsia" w:ascii="仿宋" w:hAnsi="仿宋" w:eastAsia="仿宋"/>
          <w:sz w:val="32"/>
          <w:szCs w:val="32"/>
          <w:highlight w:val="none"/>
          <w:lang w:eastAsia="zh-CN"/>
        </w:rPr>
        <w:t>子基金投资额度原则上不超过</w:t>
      </w:r>
      <w:r>
        <w:rPr>
          <w:rFonts w:hint="eastAsia" w:ascii="仿宋" w:hAnsi="仿宋" w:eastAsia="仿宋"/>
          <w:sz w:val="32"/>
          <w:szCs w:val="32"/>
          <w:highlight w:val="none"/>
          <w:lang w:val="en-US" w:eastAsia="zh-CN"/>
        </w:rPr>
        <w:t>10</w:t>
      </w:r>
      <w:r>
        <w:rPr>
          <w:rFonts w:ascii="仿宋" w:hAnsi="仿宋" w:eastAsia="仿宋"/>
          <w:sz w:val="32"/>
          <w:szCs w:val="32"/>
          <w:highlight w:val="none"/>
          <w:lang w:eastAsia="zh-CN"/>
        </w:rPr>
        <w:t>000万元人民币。</w:t>
      </w:r>
      <w:r>
        <w:rPr>
          <w:rFonts w:hint="eastAsia" w:ascii="仿宋" w:hAnsi="仿宋" w:eastAsia="仿宋"/>
          <w:sz w:val="30"/>
          <w:szCs w:val="30"/>
          <w:highlight w:val="none"/>
          <w:lang w:eastAsia="zh-CN"/>
        </w:rPr>
        <w:t>对厦门自贸片区重点产业发展、重点平台建设具有重大带动作用或长远较大影响的子基金，经管委会主任办公会议批准后，可适当提高投资额度；</w:t>
      </w:r>
    </w:p>
    <w:p>
      <w:pPr>
        <w:pStyle w:val="4"/>
        <w:numPr>
          <w:ilvl w:val="0"/>
          <w:numId w:val="1"/>
        </w:numPr>
        <w:shd w:val="clear"/>
        <w:spacing w:before="1" w:after="156" w:afterLines="50" w:line="560" w:lineRule="exact"/>
        <w:ind w:firstLine="480"/>
        <w:rPr>
          <w:rFonts w:hint="eastAsia" w:ascii="仿宋_GB2312" w:eastAsia="仿宋_GB2312"/>
          <w:sz w:val="32"/>
          <w:szCs w:val="32"/>
          <w:highlight w:val="none"/>
        </w:rPr>
      </w:pPr>
      <w:r>
        <w:rPr>
          <w:rFonts w:hint="eastAsia" w:ascii="仿宋" w:hAnsi="仿宋" w:eastAsia="仿宋"/>
          <w:sz w:val="32"/>
          <w:szCs w:val="32"/>
          <w:highlight w:val="none"/>
        </w:rPr>
        <w:t>基金投向。子基金应重点投资于厦门自贸片区范围内航运物流、口岸进出口、保税</w:t>
      </w:r>
      <w:r>
        <w:rPr>
          <w:rFonts w:hint="eastAsia" w:ascii="仿宋" w:hAnsi="仿宋" w:eastAsia="仿宋"/>
          <w:sz w:val="32"/>
          <w:szCs w:val="32"/>
          <w:highlight w:val="none"/>
          <w:lang w:eastAsia="zh-CN"/>
        </w:rPr>
        <w:t>仓储</w:t>
      </w:r>
      <w:r>
        <w:rPr>
          <w:rFonts w:hint="eastAsia" w:ascii="仿宋" w:hAnsi="仿宋" w:eastAsia="仿宋"/>
          <w:sz w:val="32"/>
          <w:szCs w:val="32"/>
          <w:highlight w:val="none"/>
        </w:rPr>
        <w:t>、加工增值、服务外包、大宗商品交易等现代临港产业，高新技术研发、信息消费、临空产业、国际贸易服务、金融服务、专业服务、邮轮经济</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数字经济、文化产业等</w:t>
      </w:r>
      <w:r>
        <w:rPr>
          <w:rFonts w:hint="eastAsia" w:ascii="仿宋" w:hAnsi="仿宋" w:eastAsia="仿宋"/>
          <w:sz w:val="32"/>
          <w:szCs w:val="32"/>
          <w:highlight w:val="none"/>
        </w:rPr>
        <w:t>新兴产业和高端服务业</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自贸区重点平台等相关产业</w:t>
      </w:r>
      <w:r>
        <w:rPr>
          <w:rFonts w:hint="eastAsia" w:ascii="仿宋" w:hAnsi="仿宋" w:eastAsia="仿宋"/>
          <w:sz w:val="32"/>
          <w:szCs w:val="32"/>
          <w:highlight w:val="none"/>
        </w:rPr>
        <w:t>以及与片区内重点产业协同发展的厦门市企业</w:t>
      </w:r>
      <w:r>
        <w:rPr>
          <w:rFonts w:hint="eastAsia" w:ascii="仿宋" w:hAnsi="仿宋" w:eastAsia="仿宋"/>
          <w:sz w:val="32"/>
          <w:szCs w:val="32"/>
          <w:highlight w:val="none"/>
          <w:lang w:eastAsia="zh-CN"/>
        </w:rPr>
        <w:t>；</w:t>
      </w:r>
    </w:p>
    <w:p>
      <w:pPr>
        <w:pStyle w:val="4"/>
        <w:numPr>
          <w:ilvl w:val="0"/>
          <w:numId w:val="1"/>
        </w:numPr>
        <w:shd w:val="clear"/>
        <w:spacing w:before="1" w:after="156" w:afterLines="50" w:line="560" w:lineRule="exact"/>
        <w:ind w:firstLine="480"/>
        <w:rPr>
          <w:rFonts w:hint="eastAsia" w:ascii="仿宋_GB2312" w:eastAsia="仿宋_GB2312"/>
          <w:sz w:val="32"/>
          <w:szCs w:val="32"/>
          <w:highlight w:val="none"/>
          <w:lang w:eastAsia="zh-CN"/>
        </w:rPr>
      </w:pPr>
      <w:r>
        <w:rPr>
          <w:rFonts w:hint="eastAsia" w:ascii="仿宋" w:hAnsi="仿宋" w:eastAsia="仿宋"/>
          <w:sz w:val="32"/>
          <w:szCs w:val="32"/>
          <w:highlight w:val="none"/>
          <w:lang w:val="en-US" w:eastAsia="zh-CN"/>
        </w:rPr>
        <w:t>返</w:t>
      </w:r>
      <w:r>
        <w:rPr>
          <w:rFonts w:hint="eastAsia" w:ascii="仿宋" w:hAnsi="仿宋" w:eastAsia="仿宋"/>
          <w:sz w:val="32"/>
          <w:szCs w:val="32"/>
          <w:highlight w:val="none"/>
          <w:lang w:eastAsia="zh-CN"/>
        </w:rPr>
        <w:t>投要求。</w:t>
      </w:r>
      <w:r>
        <w:rPr>
          <w:rFonts w:hint="eastAsia" w:ascii="仿宋" w:hAnsi="仿宋" w:eastAsia="仿宋"/>
          <w:sz w:val="32"/>
          <w:szCs w:val="32"/>
          <w:highlight w:val="none"/>
          <w:lang w:val="en-US" w:eastAsia="zh-CN"/>
        </w:rPr>
        <w:t>产业子基金应优先投资于厦门自贸片区范围内的企业，</w:t>
      </w:r>
      <w:r>
        <w:rPr>
          <w:rFonts w:hint="eastAsia" w:ascii="仿宋" w:hAnsi="仿宋" w:eastAsia="仿宋"/>
          <w:sz w:val="32"/>
          <w:szCs w:val="32"/>
          <w:highlight w:val="none"/>
        </w:rPr>
        <w:t>子基金存续期内，投资于</w:t>
      </w:r>
      <w:r>
        <w:rPr>
          <w:rFonts w:hint="eastAsia" w:ascii="仿宋" w:hAnsi="仿宋" w:eastAsia="仿宋"/>
          <w:sz w:val="32"/>
          <w:szCs w:val="32"/>
          <w:highlight w:val="none"/>
          <w:lang w:eastAsia="zh-CN"/>
        </w:rPr>
        <w:t>商事登记</w:t>
      </w:r>
      <w:r>
        <w:rPr>
          <w:rFonts w:hint="eastAsia" w:ascii="仿宋" w:hAnsi="仿宋" w:eastAsia="仿宋"/>
          <w:sz w:val="32"/>
          <w:szCs w:val="32"/>
          <w:highlight w:val="none"/>
          <w:lang w:val="en-US" w:eastAsia="zh-CN"/>
        </w:rPr>
        <w:t>或税收归属</w:t>
      </w:r>
      <w:r>
        <w:rPr>
          <w:rFonts w:hint="eastAsia" w:ascii="仿宋" w:hAnsi="仿宋" w:eastAsia="仿宋"/>
          <w:sz w:val="32"/>
          <w:szCs w:val="32"/>
          <w:highlight w:val="none"/>
          <w:lang w:eastAsia="zh-CN"/>
        </w:rPr>
        <w:t>在</w:t>
      </w:r>
      <w:r>
        <w:rPr>
          <w:rFonts w:hint="eastAsia" w:ascii="仿宋" w:hAnsi="仿宋" w:eastAsia="仿宋"/>
          <w:sz w:val="32"/>
          <w:szCs w:val="32"/>
          <w:highlight w:val="none"/>
        </w:rPr>
        <w:t>厦门</w:t>
      </w:r>
      <w:r>
        <w:rPr>
          <w:rFonts w:hint="eastAsia" w:ascii="仿宋" w:hAnsi="仿宋" w:eastAsia="仿宋"/>
          <w:sz w:val="32"/>
          <w:szCs w:val="32"/>
          <w:highlight w:val="none"/>
          <w:lang w:eastAsia="zh-CN"/>
        </w:rPr>
        <w:t>自贸片区</w:t>
      </w:r>
      <w:r>
        <w:rPr>
          <w:rFonts w:hint="eastAsia" w:ascii="仿宋" w:hAnsi="仿宋" w:eastAsia="仿宋"/>
          <w:sz w:val="32"/>
          <w:szCs w:val="32"/>
          <w:highlight w:val="none"/>
        </w:rPr>
        <w:t>企业的资金总额不低于引导基金对子基金出资额的</w:t>
      </w:r>
      <w:r>
        <w:rPr>
          <w:rFonts w:ascii="仿宋" w:hAnsi="仿宋" w:eastAsia="仿宋"/>
          <w:sz w:val="32"/>
          <w:szCs w:val="32"/>
          <w:highlight w:val="none"/>
        </w:rPr>
        <w:t>1.</w:t>
      </w:r>
      <w:r>
        <w:rPr>
          <w:rFonts w:hint="eastAsia" w:ascii="仿宋" w:hAnsi="仿宋" w:eastAsia="仿宋"/>
          <w:sz w:val="32"/>
          <w:szCs w:val="32"/>
          <w:highlight w:val="none"/>
          <w:lang w:val="en-US" w:eastAsia="zh-CN"/>
        </w:rPr>
        <w:t>2</w:t>
      </w:r>
      <w:r>
        <w:rPr>
          <w:rFonts w:ascii="仿宋" w:hAnsi="仿宋" w:eastAsia="仿宋"/>
          <w:sz w:val="32"/>
          <w:szCs w:val="32"/>
          <w:highlight w:val="none"/>
        </w:rPr>
        <w:t>倍，</w:t>
      </w:r>
      <w:r>
        <w:rPr>
          <w:rFonts w:hint="eastAsia" w:ascii="仿宋_GB2312" w:eastAsia="仿宋_GB2312"/>
          <w:sz w:val="32"/>
          <w:szCs w:val="32"/>
          <w:highlight w:val="none"/>
        </w:rPr>
        <w:t>由子基金管理机构</w:t>
      </w:r>
      <w:r>
        <w:rPr>
          <w:rFonts w:hint="eastAsia" w:ascii="仿宋_GB2312" w:eastAsia="仿宋_GB2312"/>
          <w:sz w:val="32"/>
          <w:szCs w:val="32"/>
          <w:highlight w:val="none"/>
          <w:lang w:eastAsia="zh-CN"/>
        </w:rPr>
        <w:t>及关联方</w:t>
      </w:r>
      <w:r>
        <w:rPr>
          <w:rFonts w:hint="eastAsia" w:ascii="仿宋_GB2312" w:eastAsia="仿宋_GB2312"/>
          <w:sz w:val="32"/>
          <w:szCs w:val="32"/>
          <w:highlight w:val="none"/>
        </w:rPr>
        <w:t>引进的招商引资项目经管委会事先认定，可计入子基金对厦门自贸片区的投资额</w:t>
      </w:r>
      <w:r>
        <w:rPr>
          <w:rFonts w:hint="eastAsia" w:ascii="仿宋_GB2312" w:eastAsia="仿宋_GB2312"/>
          <w:sz w:val="32"/>
          <w:szCs w:val="32"/>
          <w:highlight w:val="none"/>
          <w:lang w:eastAsia="zh-CN"/>
        </w:rPr>
        <w:t>；</w:t>
      </w:r>
    </w:p>
    <w:p>
      <w:pPr>
        <w:pStyle w:val="4"/>
        <w:numPr>
          <w:ilvl w:val="0"/>
          <w:numId w:val="1"/>
        </w:numPr>
        <w:shd w:val="clear"/>
        <w:spacing w:before="1" w:after="156" w:afterLines="50" w:line="560" w:lineRule="exact"/>
        <w:ind w:firstLine="480"/>
        <w:rPr>
          <w:rFonts w:hint="eastAsia" w:ascii="仿宋" w:hAnsi="仿宋" w:eastAsia="仿宋"/>
          <w:sz w:val="32"/>
          <w:szCs w:val="32"/>
          <w:highlight w:val="none"/>
          <w:lang w:val="en-US" w:eastAsia="zh-CN"/>
        </w:rPr>
      </w:pPr>
      <w:r>
        <w:rPr>
          <w:rFonts w:hint="eastAsia" w:ascii="仿宋" w:hAnsi="仿宋" w:eastAsia="仿宋"/>
          <w:sz w:val="32"/>
          <w:szCs w:val="32"/>
          <w:highlight w:val="none"/>
        </w:rPr>
        <w:t>存续期限。子基金的存续期限原则上</w:t>
      </w:r>
      <w:r>
        <w:rPr>
          <w:rFonts w:hint="eastAsia" w:ascii="仿宋" w:hAnsi="仿宋" w:eastAsia="仿宋"/>
          <w:sz w:val="32"/>
          <w:szCs w:val="32"/>
          <w:highlight w:val="none"/>
          <w:lang w:eastAsia="zh-CN"/>
        </w:rPr>
        <w:t>不超过</w:t>
      </w:r>
      <w:r>
        <w:rPr>
          <w:rFonts w:ascii="仿宋" w:hAnsi="仿宋" w:eastAsia="仿宋"/>
          <w:sz w:val="32"/>
          <w:szCs w:val="32"/>
          <w:highlight w:val="none"/>
        </w:rPr>
        <w:t>7年，</w:t>
      </w:r>
      <w:r>
        <w:rPr>
          <w:rFonts w:hint="eastAsia" w:ascii="仿宋" w:hAnsi="仿宋" w:eastAsia="仿宋"/>
          <w:sz w:val="32"/>
          <w:szCs w:val="32"/>
          <w:highlight w:val="none"/>
          <w:lang w:eastAsia="zh-CN"/>
        </w:rPr>
        <w:t>确需延长存续期的，经子基金出资人协商一致，最多可延长</w:t>
      </w:r>
      <w:r>
        <w:rPr>
          <w:rFonts w:hint="eastAsia" w:ascii="仿宋" w:hAnsi="仿宋" w:eastAsia="仿宋"/>
          <w:sz w:val="32"/>
          <w:szCs w:val="32"/>
          <w:highlight w:val="none"/>
          <w:lang w:val="en-US" w:eastAsia="zh-CN"/>
        </w:rPr>
        <w:t>2年；</w:t>
      </w:r>
    </w:p>
    <w:p>
      <w:pPr>
        <w:pStyle w:val="4"/>
        <w:numPr>
          <w:ilvl w:val="0"/>
          <w:numId w:val="1"/>
        </w:numPr>
        <w:shd w:val="clear"/>
        <w:spacing w:before="1" w:after="156" w:afterLines="50" w:line="560" w:lineRule="exact"/>
        <w:ind w:firstLine="480"/>
        <w:rPr>
          <w:rFonts w:ascii="仿宋" w:hAnsi="仿宋" w:eastAsia="仿宋"/>
          <w:sz w:val="32"/>
          <w:szCs w:val="32"/>
          <w:highlight w:val="none"/>
        </w:rPr>
      </w:pPr>
      <w:r>
        <w:rPr>
          <w:rFonts w:hint="eastAsia" w:ascii="仿宋" w:hAnsi="仿宋" w:eastAsia="仿宋"/>
          <w:sz w:val="32"/>
          <w:szCs w:val="32"/>
          <w:highlight w:val="none"/>
        </w:rPr>
        <w:t>委托管理。子基金法人治理结构必须符合法律要求，委托专业基金管理机构负责子基金的日常投资和</w:t>
      </w:r>
      <w:r>
        <w:rPr>
          <w:rFonts w:hint="eastAsia" w:ascii="仿宋" w:hAnsi="仿宋" w:eastAsia="仿宋"/>
          <w:sz w:val="32"/>
          <w:szCs w:val="32"/>
          <w:highlight w:val="none"/>
          <w:lang w:eastAsia="zh-CN"/>
        </w:rPr>
        <w:t>管理；</w:t>
      </w:r>
    </w:p>
    <w:p>
      <w:pPr>
        <w:pStyle w:val="4"/>
        <w:numPr>
          <w:ilvl w:val="0"/>
          <w:numId w:val="1"/>
        </w:numPr>
        <w:shd w:val="clear"/>
        <w:spacing w:before="1" w:after="156" w:afterLines="50" w:line="560" w:lineRule="exact"/>
        <w:ind w:firstLine="480"/>
        <w:rPr>
          <w:rFonts w:hint="eastAsia" w:ascii="仿宋" w:hAnsi="仿宋" w:eastAsia="仿宋"/>
          <w:sz w:val="32"/>
          <w:szCs w:val="32"/>
          <w:highlight w:val="none"/>
        </w:rPr>
      </w:pPr>
      <w:r>
        <w:rPr>
          <w:rFonts w:hint="eastAsia" w:ascii="仿宋" w:hAnsi="仿宋" w:eastAsia="仿宋"/>
          <w:sz w:val="32"/>
          <w:szCs w:val="32"/>
          <w:highlight w:val="none"/>
        </w:rPr>
        <w:t>设立方式。子基金可以选择公司制或合伙制形式设立，须严格遵照《中华人民共和国公司法》、《中华人民共和国合伙企业法》、《创业投资企业管理暂行办法》等</w:t>
      </w:r>
      <w:r>
        <w:rPr>
          <w:rFonts w:hint="eastAsia" w:ascii="仿宋" w:hAnsi="仿宋" w:eastAsia="仿宋"/>
          <w:sz w:val="32"/>
          <w:szCs w:val="32"/>
          <w:highlight w:val="none"/>
          <w:lang w:eastAsia="zh-CN"/>
        </w:rPr>
        <w:t>法律法规</w:t>
      </w:r>
      <w:r>
        <w:rPr>
          <w:rFonts w:hint="eastAsia" w:ascii="仿宋" w:hAnsi="仿宋" w:eastAsia="仿宋"/>
          <w:sz w:val="32"/>
          <w:szCs w:val="32"/>
          <w:highlight w:val="none"/>
        </w:rPr>
        <w:t>运作</w:t>
      </w:r>
      <w:r>
        <w:rPr>
          <w:rFonts w:hint="eastAsia" w:ascii="仿宋" w:hAnsi="仿宋" w:eastAsia="仿宋"/>
          <w:sz w:val="32"/>
          <w:szCs w:val="32"/>
          <w:highlight w:val="none"/>
          <w:lang w:eastAsia="zh-CN"/>
        </w:rPr>
        <w:t>；</w:t>
      </w:r>
    </w:p>
    <w:p>
      <w:pPr>
        <w:pStyle w:val="4"/>
        <w:numPr>
          <w:ilvl w:val="0"/>
          <w:numId w:val="1"/>
        </w:numPr>
        <w:shd w:val="clear"/>
        <w:spacing w:before="1" w:after="156" w:afterLines="50" w:line="560" w:lineRule="exact"/>
        <w:ind w:firstLine="480"/>
        <w:rPr>
          <w:rFonts w:hint="eastAsia" w:ascii="仿宋" w:hAnsi="仿宋" w:eastAsia="仿宋"/>
          <w:sz w:val="32"/>
          <w:szCs w:val="32"/>
          <w:highlight w:val="none"/>
        </w:rPr>
      </w:pPr>
      <w:r>
        <w:rPr>
          <w:rFonts w:hint="eastAsia" w:ascii="仿宋" w:hAnsi="仿宋" w:eastAsia="仿宋" w:cs="Times New Roman"/>
          <w:kern w:val="0"/>
          <w:sz w:val="30"/>
          <w:szCs w:val="30"/>
          <w:highlight w:val="none"/>
        </w:rPr>
        <w:t>托管机构。子基金托管机构必须是于厦门市注册经营的具备基金托管资格的金融机构</w:t>
      </w:r>
      <w:r>
        <w:rPr>
          <w:rFonts w:hint="eastAsia" w:ascii="仿宋" w:hAnsi="仿宋" w:eastAsia="仿宋" w:cs="Times New Roman"/>
          <w:kern w:val="0"/>
          <w:sz w:val="30"/>
          <w:szCs w:val="30"/>
          <w:highlight w:val="none"/>
          <w:lang w:eastAsia="zh-CN"/>
        </w:rPr>
        <w:t>；</w:t>
      </w:r>
    </w:p>
    <w:p>
      <w:pPr>
        <w:pStyle w:val="4"/>
        <w:numPr>
          <w:ilvl w:val="0"/>
          <w:numId w:val="1"/>
        </w:numPr>
        <w:shd w:val="clear"/>
        <w:spacing w:before="1" w:after="156" w:afterLines="50" w:line="560" w:lineRule="exact"/>
        <w:ind w:firstLine="480"/>
        <w:rPr>
          <w:rFonts w:hint="eastAsia" w:ascii="仿宋_GB2312" w:eastAsia="仿宋_GB2312"/>
          <w:sz w:val="32"/>
          <w:szCs w:val="32"/>
          <w:highlight w:val="none"/>
          <w:lang w:eastAsia="zh-CN"/>
        </w:rPr>
      </w:pPr>
      <w:r>
        <w:rPr>
          <w:rFonts w:hint="eastAsia" w:ascii="仿宋" w:hAnsi="仿宋" w:eastAsia="仿宋"/>
          <w:sz w:val="32"/>
          <w:szCs w:val="32"/>
          <w:highlight w:val="none"/>
        </w:rPr>
        <w:t>其他要求。</w:t>
      </w:r>
      <w:r>
        <w:rPr>
          <w:rFonts w:hint="eastAsia" w:ascii="仿宋_GB2312" w:eastAsia="仿宋_GB2312"/>
          <w:sz w:val="32"/>
          <w:szCs w:val="32"/>
          <w:highlight w:val="none"/>
        </w:rPr>
        <w:t>原则上子基金</w:t>
      </w:r>
      <w:r>
        <w:rPr>
          <w:rFonts w:hint="eastAsia" w:ascii="仿宋" w:hAnsi="仿宋" w:eastAsia="仿宋"/>
          <w:sz w:val="30"/>
          <w:szCs w:val="30"/>
          <w:highlight w:val="none"/>
          <w:lang w:eastAsia="zh-CN"/>
        </w:rPr>
        <w:t>及其普通合伙人</w:t>
      </w:r>
      <w:r>
        <w:rPr>
          <w:rFonts w:hint="eastAsia" w:ascii="仿宋_GB2312" w:eastAsia="仿宋_GB2312"/>
          <w:sz w:val="32"/>
          <w:szCs w:val="32"/>
          <w:highlight w:val="none"/>
        </w:rPr>
        <w:t>应当注册在厦门市自贸片区内，每支子基金募集资金总额原则上不少于1亿元人民币，且全部出资原则上在</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年内到位</w:t>
      </w:r>
      <w:r>
        <w:rPr>
          <w:rFonts w:hint="eastAsia" w:ascii="仿宋_GB2312" w:eastAsia="仿宋_GB2312"/>
          <w:sz w:val="32"/>
          <w:szCs w:val="32"/>
          <w:highlight w:val="none"/>
          <w:lang w:eastAsia="zh-CN"/>
        </w:rPr>
        <w:t>。子基金规模在</w:t>
      </w:r>
      <w:r>
        <w:rPr>
          <w:rFonts w:hint="eastAsia" w:ascii="仿宋_GB2312" w:eastAsia="仿宋_GB2312"/>
          <w:sz w:val="32"/>
          <w:szCs w:val="32"/>
          <w:highlight w:val="none"/>
          <w:lang w:val="en-US" w:eastAsia="zh-CN"/>
        </w:rPr>
        <w:t>20亿元（含）以内的，</w:t>
      </w:r>
      <w:r>
        <w:rPr>
          <w:rFonts w:hint="eastAsia" w:ascii="仿宋_GB2312" w:eastAsia="仿宋_GB2312"/>
          <w:sz w:val="32"/>
          <w:szCs w:val="32"/>
          <w:highlight w:val="none"/>
        </w:rPr>
        <w:t>首期到位资金不低于认缴出资总额的</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0%</w:t>
      </w:r>
      <w:r>
        <w:rPr>
          <w:rFonts w:hint="eastAsia" w:ascii="仿宋_GB2312" w:eastAsia="仿宋_GB2312"/>
          <w:sz w:val="32"/>
          <w:szCs w:val="32"/>
          <w:highlight w:val="none"/>
          <w:lang w:eastAsia="zh-CN"/>
        </w:rPr>
        <w:t>；子基金规模超过</w:t>
      </w:r>
      <w:r>
        <w:rPr>
          <w:rFonts w:hint="eastAsia" w:ascii="仿宋_GB2312" w:eastAsia="仿宋_GB2312"/>
          <w:sz w:val="32"/>
          <w:szCs w:val="32"/>
          <w:highlight w:val="none"/>
          <w:lang w:val="en-US" w:eastAsia="zh-CN"/>
        </w:rPr>
        <w:t>20亿元的，</w:t>
      </w:r>
      <w:r>
        <w:rPr>
          <w:rFonts w:hint="eastAsia" w:ascii="仿宋_GB2312" w:eastAsia="仿宋_GB2312"/>
          <w:sz w:val="32"/>
          <w:szCs w:val="32"/>
          <w:highlight w:val="none"/>
        </w:rPr>
        <w:t>首期到位资金不低于认缴出资总额的20%，且所有投资者均以货币形式出资</w:t>
      </w:r>
      <w:r>
        <w:rPr>
          <w:rFonts w:hint="eastAsia" w:ascii="仿宋_GB2312" w:eastAsia="仿宋_GB2312"/>
          <w:sz w:val="32"/>
          <w:szCs w:val="32"/>
          <w:highlight w:val="none"/>
          <w:lang w:eastAsia="zh-CN"/>
        </w:rPr>
        <w:t>。</w:t>
      </w:r>
    </w:p>
    <w:p>
      <w:pPr>
        <w:shd w:val="clear"/>
        <w:ind w:firstLine="640" w:firstLineChars="200"/>
        <w:rPr>
          <w:rFonts w:ascii="仿宋_GB2312" w:eastAsia="仿宋_GB2312"/>
          <w:sz w:val="32"/>
          <w:szCs w:val="32"/>
          <w:highlight w:val="none"/>
        </w:rPr>
      </w:pPr>
      <w:r>
        <w:rPr>
          <w:rFonts w:hint="eastAsia" w:ascii="仿宋_GB2312" w:eastAsia="仿宋_GB2312"/>
          <w:sz w:val="32"/>
          <w:szCs w:val="32"/>
          <w:highlight w:val="none"/>
        </w:rPr>
        <w:t>子基金管理机构可由子基金申请机构自行担任，也可以为管理申报基金专设，且需在引导基金批复参股子基金方案后半年内完成设立。子基金管理机构应承诺管理参股基金后，在申报基金完成70%投资前不募集或接受新的委托管理相同投资领域或投资策略的其他基金。</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第十条</w:t>
      </w:r>
      <w:r>
        <w:rPr>
          <w:rFonts w:ascii="仿宋" w:hAnsi="仿宋" w:eastAsia="仿宋"/>
          <w:sz w:val="32"/>
          <w:szCs w:val="32"/>
          <w:highlight w:val="none"/>
        </w:rPr>
        <w:t xml:space="preserve"> </w:t>
      </w:r>
      <w:r>
        <w:rPr>
          <w:rFonts w:hint="eastAsia" w:ascii="仿宋" w:hAnsi="仿宋" w:eastAsia="仿宋"/>
          <w:sz w:val="32"/>
          <w:szCs w:val="32"/>
          <w:highlight w:val="none"/>
        </w:rPr>
        <w:t>引导基金对参股投资项目公司的要求参照上述第九条对子基金的要求，具体在投资协议中约定，由联席会议决定。项目公司原则上应注册在厦门自贸片区内，特殊情况应经联席会议审批。</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第十一条</w:t>
      </w:r>
      <w:r>
        <w:rPr>
          <w:rFonts w:ascii="仿宋" w:hAnsi="仿宋" w:eastAsia="仿宋"/>
          <w:sz w:val="32"/>
          <w:szCs w:val="32"/>
          <w:highlight w:val="none"/>
        </w:rPr>
        <w:t xml:space="preserve"> </w:t>
      </w:r>
      <w:r>
        <w:rPr>
          <w:rFonts w:hint="eastAsia" w:ascii="仿宋" w:hAnsi="仿宋" w:eastAsia="仿宋"/>
          <w:sz w:val="32"/>
          <w:szCs w:val="32"/>
          <w:highlight w:val="none"/>
        </w:rPr>
        <w:t>引导基金投资的子基金和项目公司应及时办理工商变更登记手续，新设子基金在</w:t>
      </w:r>
      <w:r>
        <w:rPr>
          <w:rFonts w:hint="eastAsia" w:ascii="仿宋" w:hAnsi="仿宋" w:eastAsia="仿宋"/>
          <w:sz w:val="32"/>
          <w:szCs w:val="32"/>
          <w:highlight w:val="none"/>
          <w:lang w:val="en-US" w:eastAsia="zh-CN"/>
        </w:rPr>
        <w:t>引导基金实际出资</w:t>
      </w:r>
      <w:r>
        <w:rPr>
          <w:rFonts w:hint="eastAsia" w:ascii="仿宋" w:hAnsi="仿宋" w:eastAsia="仿宋"/>
          <w:sz w:val="32"/>
          <w:szCs w:val="32"/>
          <w:highlight w:val="none"/>
        </w:rPr>
        <w:t>后</w:t>
      </w:r>
      <w:r>
        <w:rPr>
          <w:rFonts w:hint="eastAsia" w:ascii="仿宋" w:hAnsi="仿宋" w:eastAsia="仿宋"/>
          <w:sz w:val="32"/>
          <w:szCs w:val="32"/>
          <w:highlight w:val="none"/>
          <w:lang w:val="en-US" w:eastAsia="zh-CN"/>
        </w:rPr>
        <w:t>应按规定及时</w:t>
      </w:r>
      <w:r>
        <w:rPr>
          <w:rFonts w:ascii="仿宋" w:hAnsi="仿宋" w:eastAsia="仿宋"/>
          <w:sz w:val="32"/>
          <w:szCs w:val="32"/>
          <w:highlight w:val="none"/>
        </w:rPr>
        <w:t>向中国证券投资基金业协会备案，并接受行业自律管理。</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第十二条</w:t>
      </w:r>
      <w:r>
        <w:rPr>
          <w:rFonts w:ascii="仿宋" w:hAnsi="仿宋" w:eastAsia="仿宋"/>
          <w:sz w:val="32"/>
          <w:szCs w:val="32"/>
          <w:highlight w:val="none"/>
        </w:rPr>
        <w:t xml:space="preserve"> </w:t>
      </w:r>
      <w:r>
        <w:rPr>
          <w:rFonts w:hint="eastAsia" w:ascii="仿宋" w:hAnsi="仿宋" w:eastAsia="仿宋"/>
          <w:sz w:val="32"/>
          <w:szCs w:val="32"/>
          <w:highlight w:val="none"/>
        </w:rPr>
        <w:t>子基金应在完成项目投资事项后</w:t>
      </w:r>
      <w:r>
        <w:rPr>
          <w:rFonts w:ascii="仿宋" w:hAnsi="仿宋" w:eastAsia="仿宋"/>
          <w:sz w:val="32"/>
          <w:szCs w:val="32"/>
          <w:highlight w:val="none"/>
        </w:rPr>
        <w:t>1个月</w:t>
      </w:r>
      <w:r>
        <w:rPr>
          <w:rFonts w:hint="eastAsia" w:ascii="仿宋" w:hAnsi="仿宋" w:eastAsia="仿宋"/>
          <w:sz w:val="32"/>
          <w:szCs w:val="32"/>
          <w:highlight w:val="none"/>
        </w:rPr>
        <w:t>内向</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进行项目备案；子基金及项目公司应每季度提交财务报表和投资（运营）简报，每年</w:t>
      </w:r>
      <w:r>
        <w:rPr>
          <w:rFonts w:ascii="仿宋" w:hAnsi="仿宋" w:eastAsia="仿宋"/>
          <w:sz w:val="32"/>
          <w:szCs w:val="32"/>
          <w:highlight w:val="none"/>
        </w:rPr>
        <w:t>7月和次年1月向</w:t>
      </w:r>
      <w:r>
        <w:rPr>
          <w:rFonts w:hint="eastAsia" w:ascii="仿宋" w:hAnsi="仿宋" w:eastAsia="仿宋"/>
          <w:sz w:val="32"/>
          <w:szCs w:val="32"/>
          <w:highlight w:val="none"/>
          <w:lang w:eastAsia="zh-CN"/>
        </w:rPr>
        <w:t>引导基金受托管理机构</w:t>
      </w:r>
      <w:r>
        <w:rPr>
          <w:rFonts w:ascii="仿宋" w:hAnsi="仿宋" w:eastAsia="仿宋"/>
          <w:sz w:val="32"/>
          <w:szCs w:val="32"/>
          <w:highlight w:val="none"/>
        </w:rPr>
        <w:t>提交上半年和上年度投资（运营）报告，在每年</w:t>
      </w:r>
      <w:r>
        <w:rPr>
          <w:rFonts w:hint="eastAsia" w:ascii="仿宋" w:hAnsi="仿宋" w:eastAsia="仿宋"/>
          <w:sz w:val="32"/>
          <w:szCs w:val="32"/>
          <w:highlight w:val="none"/>
          <w:lang w:val="en-US" w:eastAsia="zh-CN"/>
        </w:rPr>
        <w:t>5</w:t>
      </w:r>
      <w:r>
        <w:rPr>
          <w:rFonts w:ascii="仿宋" w:hAnsi="仿宋" w:eastAsia="仿宋"/>
          <w:sz w:val="32"/>
          <w:szCs w:val="32"/>
          <w:highlight w:val="none"/>
        </w:rPr>
        <w:t>月底前提交上年度经审计的</w:t>
      </w:r>
      <w:r>
        <w:rPr>
          <w:rFonts w:hint="eastAsia" w:ascii="仿宋" w:hAnsi="仿宋" w:eastAsia="仿宋"/>
          <w:sz w:val="32"/>
          <w:szCs w:val="32"/>
          <w:highlight w:val="none"/>
        </w:rPr>
        <w:t>子基金和项目公司财务报告，子基金还需提交</w:t>
      </w:r>
      <w:r>
        <w:rPr>
          <w:rFonts w:hint="eastAsia" w:ascii="仿宋" w:hAnsi="仿宋" w:eastAsia="仿宋"/>
          <w:sz w:val="32"/>
          <w:szCs w:val="32"/>
          <w:highlight w:val="none"/>
          <w:lang w:val="en-US" w:eastAsia="zh-CN"/>
        </w:rPr>
        <w:t>金融机构</w:t>
      </w:r>
      <w:r>
        <w:rPr>
          <w:rFonts w:hint="eastAsia" w:ascii="仿宋" w:hAnsi="仿宋" w:eastAsia="仿宋"/>
          <w:sz w:val="32"/>
          <w:szCs w:val="32"/>
          <w:highlight w:val="none"/>
        </w:rPr>
        <w:t>托管报告。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引导基金</w:t>
      </w:r>
      <w:r>
        <w:rPr>
          <w:rFonts w:hint="eastAsia" w:ascii="仿宋" w:hAnsi="仿宋" w:eastAsia="仿宋"/>
          <w:sz w:val="32"/>
          <w:szCs w:val="32"/>
          <w:highlight w:val="none"/>
          <w:lang w:val="en-US" w:eastAsia="zh-CN"/>
        </w:rPr>
        <w:t>受托管理机构</w:t>
      </w:r>
      <w:r>
        <w:rPr>
          <w:rFonts w:hint="eastAsia" w:ascii="仿宋" w:hAnsi="仿宋" w:eastAsia="仿宋"/>
          <w:sz w:val="32"/>
          <w:szCs w:val="32"/>
          <w:highlight w:val="none"/>
        </w:rPr>
        <w:t>每季度将统计报表和投资简报提交联席会议办公室备案，每年</w:t>
      </w:r>
      <w:r>
        <w:rPr>
          <w:rFonts w:ascii="仿宋" w:hAnsi="仿宋" w:eastAsia="仿宋"/>
          <w:sz w:val="32"/>
          <w:szCs w:val="32"/>
          <w:highlight w:val="none"/>
        </w:rPr>
        <w:t>7月和次年1月向联席会议办公室提交上半年和上年度引导基金投资运作报告。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视工作需要可委托专业机构对子基金和项目公司进行审计。</w:t>
      </w:r>
    </w:p>
    <w:p>
      <w:pPr>
        <w:shd w:val="clear"/>
        <w:spacing w:line="580" w:lineRule="exact"/>
        <w:ind w:firstLine="640" w:firstLineChars="200"/>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第四章</w:t>
      </w:r>
      <w:r>
        <w:rPr>
          <w:rFonts w:ascii="仿宋" w:hAnsi="仿宋" w:eastAsia="仿宋"/>
          <w:b/>
          <w:sz w:val="32"/>
          <w:szCs w:val="32"/>
          <w:highlight w:val="none"/>
        </w:rPr>
        <w:t xml:space="preserve"> </w:t>
      </w:r>
      <w:r>
        <w:rPr>
          <w:rFonts w:hint="eastAsia" w:ascii="仿宋" w:hAnsi="仿宋" w:eastAsia="仿宋"/>
          <w:b/>
          <w:sz w:val="32"/>
          <w:szCs w:val="32"/>
          <w:highlight w:val="none"/>
        </w:rPr>
        <w:t>审议程序</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第十三条</w:t>
      </w:r>
      <w:r>
        <w:rPr>
          <w:rFonts w:ascii="仿宋" w:hAnsi="仿宋" w:eastAsia="仿宋"/>
          <w:sz w:val="32"/>
          <w:szCs w:val="32"/>
          <w:highlight w:val="none"/>
        </w:rPr>
        <w:t xml:space="preserve"> </w:t>
      </w:r>
      <w:r>
        <w:rPr>
          <w:rFonts w:hint="eastAsia" w:ascii="仿宋" w:hAnsi="仿宋" w:eastAsia="仿宋"/>
          <w:sz w:val="32"/>
          <w:szCs w:val="32"/>
          <w:highlight w:val="none"/>
        </w:rPr>
        <w:t>引导基金按照以下程序甄选参股投资的股权投资机构和投资项目：</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（一）公开征集：按照</w:t>
      </w:r>
      <w:r>
        <w:rPr>
          <w:rFonts w:hint="eastAsia" w:ascii="仿宋" w:hAnsi="仿宋" w:eastAsia="仿宋"/>
          <w:sz w:val="32"/>
          <w:szCs w:val="32"/>
          <w:highlight w:val="none"/>
          <w:lang w:val="en-US" w:eastAsia="zh-CN"/>
        </w:rPr>
        <w:t>自贸区管委会财政预算安排</w:t>
      </w:r>
      <w:r>
        <w:rPr>
          <w:rFonts w:hint="eastAsia" w:ascii="仿宋" w:hAnsi="仿宋" w:eastAsia="仿宋"/>
          <w:sz w:val="32"/>
          <w:szCs w:val="32"/>
          <w:highlight w:val="none"/>
        </w:rPr>
        <w:t>，由</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负责向社会公开</w:t>
      </w:r>
      <w:r>
        <w:rPr>
          <w:rFonts w:hint="eastAsia" w:ascii="仿宋" w:hAnsi="仿宋" w:eastAsia="仿宋"/>
          <w:sz w:val="32"/>
          <w:szCs w:val="32"/>
          <w:highlight w:val="none"/>
          <w:lang w:val="en-US" w:eastAsia="zh-CN"/>
        </w:rPr>
        <w:t>发布</w:t>
      </w:r>
      <w:r>
        <w:rPr>
          <w:rFonts w:hint="eastAsia" w:ascii="仿宋" w:hAnsi="仿宋" w:eastAsia="仿宋"/>
          <w:sz w:val="32"/>
          <w:szCs w:val="32"/>
          <w:highlight w:val="none"/>
        </w:rPr>
        <w:t>基金申报指南，拟申请引导基金投资的子基金及子基金管理团队，根据指南要求进行申报</w:t>
      </w:r>
      <w:r>
        <w:rPr>
          <w:rFonts w:hint="eastAsia" w:ascii="仿宋" w:hAnsi="仿宋" w:eastAsia="仿宋"/>
          <w:sz w:val="32"/>
          <w:szCs w:val="32"/>
          <w:highlight w:val="none"/>
          <w:lang w:eastAsia="zh-CN"/>
        </w:rPr>
        <w:t>；</w:t>
      </w:r>
    </w:p>
    <w:p>
      <w:pPr>
        <w:shd w:val="clear"/>
        <w:spacing w:line="58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（二）尽职调查：由</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对申请人主体进行尽职调查，并初步分析申请人的投资方案，将尽职调查报告和</w:t>
      </w:r>
      <w:r>
        <w:rPr>
          <w:rFonts w:hint="eastAsia" w:ascii="仿宋" w:hAnsi="仿宋" w:eastAsia="仿宋"/>
          <w:sz w:val="32"/>
          <w:szCs w:val="32"/>
          <w:highlight w:val="none"/>
          <w:lang w:val="en-US" w:eastAsia="zh-CN"/>
        </w:rPr>
        <w:t>投资建议</w:t>
      </w:r>
      <w:r>
        <w:rPr>
          <w:rFonts w:hint="eastAsia" w:ascii="仿宋" w:hAnsi="仿宋" w:eastAsia="仿宋"/>
          <w:sz w:val="32"/>
          <w:szCs w:val="32"/>
          <w:highlight w:val="none"/>
        </w:rPr>
        <w:t>报联席会议审议</w:t>
      </w:r>
      <w:r>
        <w:rPr>
          <w:rFonts w:hint="eastAsia" w:ascii="仿宋" w:hAnsi="仿宋" w:eastAsia="仿宋"/>
          <w:sz w:val="32"/>
          <w:szCs w:val="32"/>
          <w:highlight w:val="none"/>
          <w:lang w:eastAsia="zh-CN"/>
        </w:rPr>
        <w:t>；</w:t>
      </w:r>
    </w:p>
    <w:p>
      <w:pPr>
        <w:shd w:val="clear"/>
        <w:spacing w:line="58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rPr>
        <w:t>专家评审</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由联席会议办公室</w:t>
      </w:r>
      <w:r>
        <w:rPr>
          <w:rFonts w:hint="eastAsia" w:ascii="仿宋" w:hAnsi="仿宋" w:eastAsia="仿宋"/>
          <w:sz w:val="32"/>
          <w:szCs w:val="32"/>
          <w:highlight w:val="none"/>
        </w:rPr>
        <w:t>组织专家进行</w:t>
      </w:r>
      <w:r>
        <w:rPr>
          <w:rFonts w:hint="eastAsia" w:ascii="仿宋" w:hAnsi="仿宋" w:eastAsia="仿宋"/>
          <w:sz w:val="32"/>
          <w:szCs w:val="32"/>
          <w:highlight w:val="none"/>
          <w:lang w:val="en-US" w:eastAsia="zh-CN"/>
        </w:rPr>
        <w:t>评</w:t>
      </w:r>
      <w:r>
        <w:rPr>
          <w:rFonts w:hint="eastAsia" w:ascii="仿宋" w:hAnsi="仿宋" w:eastAsia="仿宋"/>
          <w:sz w:val="32"/>
          <w:szCs w:val="32"/>
          <w:highlight w:val="none"/>
        </w:rPr>
        <w:t>审</w:t>
      </w:r>
      <w:r>
        <w:rPr>
          <w:rFonts w:hint="eastAsia" w:ascii="仿宋" w:hAnsi="仿宋" w:eastAsia="仿宋"/>
          <w:sz w:val="32"/>
          <w:szCs w:val="32"/>
          <w:highlight w:val="none"/>
          <w:lang w:val="en-US" w:eastAsia="zh-CN"/>
        </w:rPr>
        <w:t>并</w:t>
      </w:r>
      <w:r>
        <w:rPr>
          <w:rFonts w:hint="eastAsia" w:ascii="仿宋" w:hAnsi="仿宋" w:eastAsia="仿宋"/>
          <w:sz w:val="32"/>
          <w:szCs w:val="32"/>
          <w:highlight w:val="none"/>
        </w:rPr>
        <w:t>提出专家</w:t>
      </w:r>
      <w:r>
        <w:rPr>
          <w:rFonts w:hint="eastAsia" w:ascii="仿宋" w:hAnsi="仿宋" w:eastAsia="仿宋"/>
          <w:sz w:val="32"/>
          <w:szCs w:val="32"/>
          <w:highlight w:val="none"/>
          <w:lang w:val="en-US" w:eastAsia="zh-CN"/>
        </w:rPr>
        <w:t>评审</w:t>
      </w:r>
      <w:r>
        <w:rPr>
          <w:rFonts w:hint="eastAsia" w:ascii="仿宋" w:hAnsi="仿宋" w:eastAsia="仿宋"/>
          <w:sz w:val="32"/>
          <w:szCs w:val="32"/>
          <w:highlight w:val="none"/>
        </w:rPr>
        <w:t>意见</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）最终决策：联席会议根据</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提交的投资</w:t>
      </w:r>
      <w:r>
        <w:rPr>
          <w:rFonts w:hint="eastAsia" w:ascii="仿宋" w:hAnsi="仿宋" w:eastAsia="仿宋"/>
          <w:sz w:val="32"/>
          <w:szCs w:val="32"/>
          <w:highlight w:val="none"/>
          <w:lang w:val="en-US" w:eastAsia="zh-CN"/>
        </w:rPr>
        <w:t>建议</w:t>
      </w:r>
      <w:r>
        <w:rPr>
          <w:rFonts w:hint="eastAsia" w:ascii="仿宋" w:hAnsi="仿宋" w:eastAsia="仿宋"/>
          <w:sz w:val="32"/>
          <w:szCs w:val="32"/>
          <w:highlight w:val="none"/>
        </w:rPr>
        <w:t>、尽职调查报告、专家</w:t>
      </w:r>
      <w:r>
        <w:rPr>
          <w:rFonts w:hint="eastAsia" w:ascii="仿宋" w:hAnsi="仿宋" w:eastAsia="仿宋"/>
          <w:sz w:val="32"/>
          <w:szCs w:val="32"/>
          <w:highlight w:val="none"/>
          <w:lang w:val="en-US" w:eastAsia="zh-CN"/>
        </w:rPr>
        <w:t>评审意见</w:t>
      </w:r>
      <w:r>
        <w:rPr>
          <w:rFonts w:hint="eastAsia" w:ascii="仿宋" w:hAnsi="仿宋" w:eastAsia="仿宋"/>
          <w:sz w:val="32"/>
          <w:szCs w:val="32"/>
          <w:highlight w:val="none"/>
        </w:rPr>
        <w:t>，对引导基金投资方案进行最终决策</w:t>
      </w:r>
      <w:r>
        <w:rPr>
          <w:rFonts w:hint="eastAsia" w:ascii="仿宋" w:hAnsi="仿宋" w:eastAsia="仿宋"/>
          <w:sz w:val="32"/>
          <w:szCs w:val="32"/>
          <w:highlight w:val="none"/>
          <w:lang w:eastAsia="zh-CN"/>
        </w:rPr>
        <w:t>；</w:t>
      </w:r>
    </w:p>
    <w:p>
      <w:pPr>
        <w:shd w:val="clea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五</w:t>
      </w:r>
      <w:r>
        <w:rPr>
          <w:rFonts w:hint="eastAsia" w:ascii="仿宋_GB2312" w:eastAsia="仿宋_GB2312"/>
          <w:sz w:val="32"/>
          <w:szCs w:val="32"/>
          <w:highlight w:val="none"/>
        </w:rPr>
        <w:t>）社会公示：对专家初审合格且联席会议研究拟批准的参股投资的创投机构和投资项目进行公示，公示期为7个工作日；公示期若发现问题，一经核实，经研究可终止该项投资</w:t>
      </w:r>
      <w:r>
        <w:rPr>
          <w:rFonts w:hint="eastAsia" w:ascii="仿宋_GB2312" w:eastAsia="仿宋_GB2312"/>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六</w:t>
      </w:r>
      <w:r>
        <w:rPr>
          <w:rFonts w:hint="eastAsia" w:ascii="仿宋" w:hAnsi="仿宋" w:eastAsia="仿宋"/>
          <w:sz w:val="32"/>
          <w:szCs w:val="32"/>
          <w:highlight w:val="none"/>
        </w:rPr>
        <w:t>）方案实施：经联席会议决策通过的投资方案，由</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组织实施。</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在收到子基金管理团队书面通知和其他社会资本足额缴款凭证后，向联席会议办公室申请拨付出资资金；或在收到项目公司书面通知，以及其满足投资条件的相关证明文件后提交资金拨付申请。</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第十四条</w:t>
      </w:r>
      <w:r>
        <w:rPr>
          <w:rFonts w:ascii="仿宋" w:hAnsi="仿宋" w:eastAsia="仿宋"/>
          <w:sz w:val="32"/>
          <w:szCs w:val="32"/>
          <w:highlight w:val="none"/>
        </w:rPr>
        <w:t xml:space="preserve"> </w:t>
      </w:r>
      <w:r>
        <w:rPr>
          <w:rFonts w:hint="eastAsia" w:ascii="仿宋" w:hAnsi="仿宋" w:eastAsia="仿宋"/>
          <w:sz w:val="32"/>
          <w:szCs w:val="32"/>
          <w:highlight w:val="none"/>
        </w:rPr>
        <w:t>申请引导基金参股投资子基金的股权投资管理机构应符合以下条件：</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（一）合格的运营资质：有固定的营业场所和与其业务相适应的软硬件设施，股权投资</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机构可以是已经运行的专业投资管理机构，或是为申请引导基金参股投资而专设的投资管理机构，但应在申请前完成注册，且该新设股权投资</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机构应是原股权投资</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机构的全资或参控股子公司，以确保管理团队的延续性；</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（二）完整的管理团队：至少有</w:t>
      </w:r>
      <w:r>
        <w:rPr>
          <w:rFonts w:ascii="仿宋" w:hAnsi="仿宋" w:eastAsia="仿宋"/>
          <w:sz w:val="32"/>
          <w:szCs w:val="32"/>
          <w:highlight w:val="none"/>
        </w:rPr>
        <w:t>3名具备</w:t>
      </w:r>
      <w:r>
        <w:rPr>
          <w:rFonts w:hint="eastAsia" w:ascii="仿宋" w:hAnsi="仿宋" w:eastAsia="仿宋"/>
          <w:sz w:val="32"/>
          <w:szCs w:val="32"/>
          <w:highlight w:val="none"/>
          <w:lang w:val="en-US" w:eastAsia="zh-CN"/>
        </w:rPr>
        <w:t>5</w:t>
      </w:r>
      <w:r>
        <w:rPr>
          <w:rFonts w:ascii="仿宋" w:hAnsi="仿宋" w:eastAsia="仿宋"/>
          <w:sz w:val="32"/>
          <w:szCs w:val="32"/>
          <w:highlight w:val="none"/>
        </w:rPr>
        <w:t>年以上股权投资管理工作经验的高级管理人员，主要成员无受过行政主管机关或司法机关处罚的不良记录；</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sz w:val="32"/>
          <w:szCs w:val="32"/>
          <w:highlight w:val="none"/>
          <w:lang w:val="en-US" w:eastAsia="zh-CN"/>
        </w:rPr>
        <w:t>较强</w:t>
      </w:r>
      <w:r>
        <w:rPr>
          <w:rFonts w:hint="eastAsia" w:ascii="仿宋" w:hAnsi="仿宋" w:eastAsia="仿宋"/>
          <w:sz w:val="32"/>
          <w:szCs w:val="32"/>
          <w:highlight w:val="none"/>
        </w:rPr>
        <w:t>的募资能力：管理团队具有较强的募集资金能力，可以在规定期限内完成社会资金募集，并有意愿履行资金募集的兜底义务；</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（四）丰富的投资经验：管理团队有</w:t>
      </w:r>
      <w:r>
        <w:rPr>
          <w:rFonts w:ascii="仿宋" w:hAnsi="仿宋" w:eastAsia="仿宋"/>
          <w:sz w:val="32"/>
          <w:szCs w:val="32"/>
          <w:highlight w:val="none"/>
        </w:rPr>
        <w:t>3个以上在拟申报的主要投资行业领域内作为项目</w:t>
      </w:r>
      <w:r>
        <w:rPr>
          <w:rFonts w:hint="eastAsia" w:ascii="仿宋" w:hAnsi="仿宋" w:eastAsia="仿宋"/>
          <w:sz w:val="32"/>
          <w:szCs w:val="32"/>
          <w:highlight w:val="none"/>
        </w:rPr>
        <w:t>主投方的投资案例；</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五）完善的管理机制：管理团队具备规范的项目遴选机制和独立的投资决策机制，健全的创业投资管理和风险控制流程，完备的投资管理制度和完整的投资档案体系，能够为被投资企业提供创业辅导、管理咨询等增值服务</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第十五条</w:t>
      </w:r>
      <w:r>
        <w:rPr>
          <w:rFonts w:ascii="仿宋" w:hAnsi="仿宋" w:eastAsia="仿宋"/>
          <w:sz w:val="32"/>
          <w:szCs w:val="32"/>
          <w:highlight w:val="none"/>
        </w:rPr>
        <w:t xml:space="preserve"> </w:t>
      </w:r>
      <w:r>
        <w:rPr>
          <w:rFonts w:hint="eastAsia" w:ascii="仿宋" w:hAnsi="仿宋" w:eastAsia="仿宋"/>
          <w:sz w:val="32"/>
          <w:szCs w:val="32"/>
          <w:highlight w:val="none"/>
        </w:rPr>
        <w:t>申请引导基金参股出资新设立子基金，应符合以下条件：</w:t>
      </w:r>
    </w:p>
    <w:p>
      <w:pPr>
        <w:shd w:val="clear"/>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（一）社会出资人已落实</w:t>
      </w:r>
      <w:r>
        <w:rPr>
          <w:rFonts w:hint="eastAsia" w:ascii="仿宋" w:hAnsi="仿宋" w:eastAsia="仿宋"/>
          <w:sz w:val="32"/>
          <w:szCs w:val="32"/>
          <w:highlight w:val="none"/>
          <w:lang w:eastAsia="zh-CN"/>
        </w:rPr>
        <w:t>。</w:t>
      </w:r>
      <w:r>
        <w:rPr>
          <w:rFonts w:hint="eastAsia" w:ascii="仿宋" w:hAnsi="仿宋" w:eastAsia="仿宋"/>
          <w:sz w:val="30"/>
          <w:szCs w:val="30"/>
          <w:highlight w:val="none"/>
          <w:lang w:eastAsia="zh-CN"/>
        </w:rPr>
        <w:t>原则上，在申报时申报机构除申请政府引导基金外，其它</w:t>
      </w:r>
      <w:r>
        <w:rPr>
          <w:rFonts w:hint="eastAsia" w:ascii="仿宋" w:hAnsi="仿宋" w:eastAsia="仿宋"/>
          <w:sz w:val="30"/>
          <w:szCs w:val="30"/>
          <w:highlight w:val="none"/>
          <w:lang w:val="en-US" w:eastAsia="zh-CN"/>
        </w:rPr>
        <w:t>意向社会出资人承诺出资金额应不低于</w:t>
      </w:r>
      <w:r>
        <w:rPr>
          <w:rFonts w:hint="eastAsia" w:ascii="仿宋" w:hAnsi="仿宋" w:eastAsia="仿宋"/>
          <w:sz w:val="30"/>
          <w:szCs w:val="30"/>
          <w:highlight w:val="none"/>
          <w:lang w:eastAsia="zh-CN"/>
        </w:rPr>
        <w:t>拟设立子基金中社会出资部分5</w:t>
      </w:r>
      <w:r>
        <w:rPr>
          <w:rFonts w:ascii="仿宋" w:hAnsi="仿宋" w:eastAsia="仿宋"/>
          <w:sz w:val="30"/>
          <w:szCs w:val="30"/>
          <w:highlight w:val="none"/>
          <w:lang w:eastAsia="zh-CN"/>
        </w:rPr>
        <w:t>0</w:t>
      </w:r>
      <w:r>
        <w:rPr>
          <w:rFonts w:hint="eastAsia" w:ascii="仿宋" w:hAnsi="仿宋" w:eastAsia="仿宋"/>
          <w:sz w:val="30"/>
          <w:szCs w:val="30"/>
          <w:highlight w:val="none"/>
          <w:lang w:eastAsia="zh-CN"/>
        </w:rPr>
        <w:t>%（含），并提供拟出资人出资</w:t>
      </w:r>
      <w:r>
        <w:rPr>
          <w:rFonts w:hint="eastAsia" w:ascii="仿宋" w:hAnsi="仿宋" w:eastAsia="仿宋"/>
          <w:sz w:val="30"/>
          <w:szCs w:val="30"/>
          <w:highlight w:val="none"/>
          <w:lang w:val="en-US" w:eastAsia="zh-CN"/>
        </w:rPr>
        <w:t>承诺函或已签署的合伙协议/入伙协议、募资兜底承诺函等材料，</w:t>
      </w:r>
      <w:r>
        <w:rPr>
          <w:rFonts w:hint="eastAsia" w:ascii="仿宋" w:hAnsi="仿宋" w:eastAsia="仿宋"/>
          <w:sz w:val="32"/>
          <w:szCs w:val="32"/>
          <w:highlight w:val="none"/>
        </w:rPr>
        <w:t>保证资金在基金组建时按约定及时足额到位</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（二）子基金管理机构已经具有一定数量的项目储备并制定了投资计划</w:t>
      </w:r>
      <w:r>
        <w:rPr>
          <w:rFonts w:hint="eastAsia" w:ascii="仿宋" w:hAnsi="仿宋" w:eastAsia="仿宋"/>
          <w:sz w:val="32"/>
          <w:szCs w:val="32"/>
          <w:highlight w:val="none"/>
          <w:lang w:eastAsia="zh-CN"/>
        </w:rPr>
        <w:t>；</w:t>
      </w:r>
    </w:p>
    <w:p>
      <w:pPr>
        <w:shd w:val="clear"/>
        <w:spacing w:line="58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（三）子基金管理</w:t>
      </w:r>
      <w:r>
        <w:rPr>
          <w:rFonts w:hint="eastAsia" w:ascii="仿宋" w:hAnsi="仿宋" w:eastAsia="仿宋"/>
          <w:sz w:val="32"/>
          <w:szCs w:val="32"/>
          <w:highlight w:val="none"/>
          <w:lang w:eastAsia="zh-CN"/>
        </w:rPr>
        <w:t>团队或管理</w:t>
      </w:r>
      <w:r>
        <w:rPr>
          <w:rFonts w:hint="eastAsia" w:ascii="仿宋" w:hAnsi="仿宋" w:eastAsia="仿宋"/>
          <w:sz w:val="32"/>
          <w:szCs w:val="32"/>
          <w:highlight w:val="none"/>
        </w:rPr>
        <w:t>机构</w:t>
      </w:r>
      <w:r>
        <w:rPr>
          <w:rFonts w:hint="eastAsia" w:ascii="仿宋" w:hAnsi="仿宋" w:eastAsia="仿宋"/>
          <w:sz w:val="32"/>
          <w:szCs w:val="32"/>
          <w:highlight w:val="none"/>
          <w:lang w:eastAsia="zh-CN"/>
        </w:rPr>
        <w:t>应根据子基金规模在子基金中参股或认缴一定份额。具体计算方式如下：子基金规模在</w:t>
      </w:r>
      <w:r>
        <w:rPr>
          <w:rFonts w:hint="eastAsia" w:ascii="仿宋" w:hAnsi="仿宋" w:eastAsia="仿宋"/>
          <w:sz w:val="32"/>
          <w:szCs w:val="32"/>
          <w:highlight w:val="none"/>
          <w:lang w:val="en-US" w:eastAsia="zh-CN"/>
        </w:rPr>
        <w:t>20亿元（含）以下的部分，实缴出资比例不低于1%；20亿元以上至50亿元（含）以下部分，实缴出资比例不低于0.5%；50亿元以上部分，实缴出资比例不低于0.25%。</w:t>
      </w:r>
    </w:p>
    <w:p>
      <w:pPr>
        <w:shd w:val="clear"/>
        <w:spacing w:line="580" w:lineRule="exact"/>
        <w:ind w:firstLine="640" w:firstLineChars="200"/>
        <w:rPr>
          <w:rFonts w:hint="eastAsia" w:ascii="仿宋" w:hAnsi="仿宋" w:eastAsia="仿宋"/>
          <w:sz w:val="32"/>
          <w:szCs w:val="32"/>
          <w:highlight w:val="none"/>
          <w:lang w:val="en-US" w:eastAsia="zh-CN"/>
        </w:rPr>
      </w:pPr>
      <w:r>
        <w:rPr>
          <w:rFonts w:hint="eastAsia" w:ascii="仿宋_GB2312" w:eastAsia="仿宋_GB2312"/>
          <w:sz w:val="32"/>
          <w:szCs w:val="32"/>
          <w:highlight w:val="none"/>
        </w:rPr>
        <w:t>（四）子基金的出资人除各级政府出资人代表以外，其他社会出资人数量在2个以上（含2个）并应为具备一定风险识别能力和承受能力的合格投资者，并提供拟出资人的出资承诺函、出资能力证明、募资兜底承诺函等材料；募集行为应符合相关法律法规及国家有关部门规定。</w:t>
      </w:r>
    </w:p>
    <w:p>
      <w:pPr>
        <w:shd w:val="clear"/>
        <w:ind w:firstLine="640" w:firstLineChars="200"/>
        <w:rPr>
          <w:rFonts w:ascii="仿宋_GB2312" w:eastAsia="仿宋_GB2312"/>
          <w:sz w:val="32"/>
          <w:szCs w:val="32"/>
          <w:highlight w:val="none"/>
        </w:rPr>
      </w:pPr>
      <w:r>
        <w:rPr>
          <w:rFonts w:hint="eastAsia" w:ascii="仿宋" w:hAnsi="仿宋" w:eastAsia="仿宋"/>
          <w:sz w:val="32"/>
          <w:szCs w:val="32"/>
          <w:highlight w:val="none"/>
        </w:rPr>
        <w:t xml:space="preserve">第十六条 </w:t>
      </w:r>
      <w:r>
        <w:rPr>
          <w:rFonts w:hint="eastAsia" w:ascii="仿宋_GB2312" w:eastAsia="仿宋_GB2312"/>
          <w:sz w:val="32"/>
          <w:szCs w:val="32"/>
          <w:highlight w:val="none"/>
        </w:rPr>
        <w:t xml:space="preserve">申请引导基金对现有股权投资基金进行增资的，除需符合新设立子基金条件外，还应满足以下条件： </w:t>
      </w:r>
    </w:p>
    <w:p>
      <w:pPr>
        <w:shd w:val="clear"/>
        <w:ind w:firstLine="640" w:firstLineChars="200"/>
        <w:rPr>
          <w:rFonts w:ascii="仿宋_GB2312" w:eastAsia="仿宋_GB2312"/>
          <w:sz w:val="32"/>
          <w:szCs w:val="32"/>
          <w:highlight w:val="none"/>
        </w:rPr>
      </w:pPr>
      <w:r>
        <w:rPr>
          <w:rFonts w:hint="eastAsia" w:ascii="仿宋_GB2312" w:eastAsia="仿宋_GB2312"/>
          <w:sz w:val="32"/>
          <w:szCs w:val="32"/>
          <w:highlight w:val="none"/>
        </w:rPr>
        <w:t xml:space="preserve">（一）子基金已按有关法律法规设立，并开始投资运作，截止提交申请材料时，距基金首次到资时间不超过12个月； </w:t>
      </w:r>
    </w:p>
    <w:p>
      <w:pPr>
        <w:shd w:val="clea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（二）子基金全体出资人同意引导基金入股（入伙），</w:t>
      </w:r>
      <w:r>
        <w:rPr>
          <w:rFonts w:hint="eastAsia" w:ascii="仿宋_GB2312" w:eastAsia="仿宋_GB2312"/>
          <w:sz w:val="32"/>
          <w:szCs w:val="32"/>
          <w:highlight w:val="none"/>
          <w:lang w:eastAsia="zh-CN"/>
        </w:rPr>
        <w:t>并同意根据引导基金的有关规定相应修改基金章程或合伙协议等法律文件；</w:t>
      </w:r>
    </w:p>
    <w:p>
      <w:pPr>
        <w:shd w:val="clear"/>
        <w:ind w:firstLine="640" w:firstLineChars="200"/>
        <w:rPr>
          <w:rFonts w:ascii="楷体" w:hAnsi="楷体" w:eastAsia="楷体"/>
          <w:sz w:val="32"/>
          <w:szCs w:val="32"/>
          <w:highlight w:val="none"/>
        </w:rPr>
      </w:pPr>
      <w:r>
        <w:rPr>
          <w:rFonts w:hint="eastAsia" w:ascii="仿宋_GB2312" w:eastAsia="仿宋_GB2312"/>
          <w:sz w:val="32"/>
          <w:szCs w:val="32"/>
          <w:highlight w:val="none"/>
          <w:lang w:eastAsia="zh-CN"/>
        </w:rPr>
        <w:t>（三）引导基金对子基金的</w:t>
      </w:r>
      <w:r>
        <w:rPr>
          <w:rFonts w:hint="eastAsia" w:ascii="仿宋_GB2312" w:eastAsia="仿宋_GB2312"/>
          <w:sz w:val="32"/>
          <w:szCs w:val="32"/>
          <w:highlight w:val="none"/>
        </w:rPr>
        <w:t>增资价格按不高于发行价格和增资日中国人民银行公布的活期存款利息之和协商确定（存款利息按最后一个出资人的实际资金到位时间与引导基金增资到位时间差，以及增资日活期存款利率计算）。</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第十七条</w:t>
      </w:r>
      <w:r>
        <w:rPr>
          <w:rFonts w:ascii="仿宋" w:hAnsi="仿宋" w:eastAsia="仿宋"/>
          <w:sz w:val="32"/>
          <w:szCs w:val="32"/>
          <w:highlight w:val="none"/>
        </w:rPr>
        <w:t xml:space="preserve"> </w:t>
      </w:r>
      <w:r>
        <w:rPr>
          <w:rFonts w:hint="eastAsia" w:ascii="仿宋" w:hAnsi="仿宋" w:eastAsia="仿宋"/>
          <w:sz w:val="32"/>
          <w:szCs w:val="32"/>
          <w:highlight w:val="none"/>
        </w:rPr>
        <w:t>申请引导基金通过新设公司、受让股权或增资方式直接参股的项目公司，应符合以下条件：</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（一）公司其他出资人已落实，并保证资金按约定及时足额到位；</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（二）项目公司所属产业必须是厦门自贸片区的重点发展产业；</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（三）引导基金的出资比例不超过项目公司</w:t>
      </w:r>
      <w:r>
        <w:rPr>
          <w:rFonts w:hint="eastAsia" w:ascii="仿宋" w:hAnsi="仿宋" w:eastAsia="仿宋"/>
          <w:sz w:val="32"/>
          <w:szCs w:val="32"/>
          <w:highlight w:val="none"/>
          <w:lang w:val="en-US" w:eastAsia="zh-CN"/>
        </w:rPr>
        <w:t>所有者权益</w:t>
      </w:r>
      <w:r>
        <w:rPr>
          <w:rFonts w:hint="eastAsia" w:ascii="仿宋" w:hAnsi="仿宋" w:eastAsia="仿宋"/>
          <w:sz w:val="32"/>
          <w:szCs w:val="32"/>
          <w:highlight w:val="none"/>
        </w:rPr>
        <w:t>的</w:t>
      </w:r>
      <w:r>
        <w:rPr>
          <w:rFonts w:ascii="仿宋" w:hAnsi="仿宋" w:eastAsia="仿宋"/>
          <w:sz w:val="32"/>
          <w:szCs w:val="32"/>
          <w:highlight w:val="none"/>
        </w:rPr>
        <w:t>30%，最高不超过人民币</w:t>
      </w:r>
      <w:r>
        <w:rPr>
          <w:rFonts w:hint="eastAsia" w:ascii="仿宋" w:hAnsi="仿宋" w:eastAsia="仿宋"/>
          <w:sz w:val="32"/>
          <w:szCs w:val="32"/>
          <w:highlight w:val="none"/>
          <w:lang w:val="en-US" w:eastAsia="zh-CN"/>
        </w:rPr>
        <w:t>10</w:t>
      </w:r>
      <w:r>
        <w:rPr>
          <w:rFonts w:ascii="仿宋" w:hAnsi="仿宋" w:eastAsia="仿宋"/>
          <w:sz w:val="32"/>
          <w:szCs w:val="32"/>
          <w:highlight w:val="none"/>
        </w:rPr>
        <w:t>000万元</w:t>
      </w:r>
      <w:r>
        <w:rPr>
          <w:rFonts w:hint="eastAsia" w:ascii="仿宋" w:hAnsi="仿宋" w:eastAsia="仿宋"/>
          <w:sz w:val="32"/>
          <w:szCs w:val="32"/>
          <w:highlight w:val="none"/>
          <w:lang w:eastAsia="zh-CN"/>
        </w:rPr>
        <w:t>；</w:t>
      </w:r>
    </w:p>
    <w:p>
      <w:pPr>
        <w:shd w:val="clear"/>
        <w:spacing w:line="580" w:lineRule="exact"/>
        <w:ind w:firstLine="640" w:firstLineChars="200"/>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第五章</w:t>
      </w:r>
      <w:r>
        <w:rPr>
          <w:rFonts w:ascii="仿宋" w:hAnsi="仿宋" w:eastAsia="仿宋"/>
          <w:b/>
          <w:sz w:val="32"/>
          <w:szCs w:val="32"/>
          <w:highlight w:val="none"/>
        </w:rPr>
        <w:t xml:space="preserve"> </w:t>
      </w:r>
      <w:r>
        <w:rPr>
          <w:rFonts w:hint="eastAsia" w:ascii="仿宋" w:hAnsi="仿宋" w:eastAsia="仿宋"/>
          <w:b/>
          <w:sz w:val="32"/>
          <w:szCs w:val="32"/>
          <w:highlight w:val="none"/>
        </w:rPr>
        <w:t>退出方式</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第十</w:t>
      </w:r>
      <w:r>
        <w:rPr>
          <w:rFonts w:hint="eastAsia" w:ascii="仿宋" w:hAnsi="仿宋" w:eastAsia="仿宋"/>
          <w:sz w:val="32"/>
          <w:szCs w:val="32"/>
          <w:highlight w:val="none"/>
          <w:lang w:eastAsia="zh-CN"/>
        </w:rPr>
        <w:t>八</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有下述情况之一的，引导基金可选择退出：</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（一）子基金组建方案经批准后超过一年，子基金未按规定程序和时间要求完成设立或增资手续的；</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（二）引导基金出资资金拨付子基金账户超过一年，子基金未开展投资业务的；</w:t>
      </w:r>
    </w:p>
    <w:p>
      <w:pPr>
        <w:shd w:val="clear"/>
        <w:spacing w:line="24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（三）子基金或项目公司未按照子基金或项目公司章程、合伙协议或其他约束性文件之约定投资及经营的；</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（四）子基金、子基金管理机构及相关创投机构，以及项目公司及其关联股东和实际控制人发生实质性变化，已经不符合本办法规定的。</w:t>
      </w:r>
    </w:p>
    <w:p>
      <w:pPr>
        <w:shd w:val="clear"/>
        <w:spacing w:line="580" w:lineRule="exact"/>
        <w:jc w:val="center"/>
        <w:rPr>
          <w:rFonts w:ascii="仿宋" w:hAnsi="仿宋" w:eastAsia="仿宋"/>
          <w:b/>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第六章</w:t>
      </w:r>
      <w:r>
        <w:rPr>
          <w:rFonts w:ascii="仿宋" w:hAnsi="仿宋" w:eastAsia="仿宋"/>
          <w:b/>
          <w:sz w:val="32"/>
          <w:szCs w:val="32"/>
          <w:highlight w:val="none"/>
        </w:rPr>
        <w:t xml:space="preserve"> </w:t>
      </w:r>
      <w:r>
        <w:rPr>
          <w:rFonts w:hint="eastAsia" w:ascii="仿宋" w:hAnsi="仿宋" w:eastAsia="仿宋"/>
          <w:b/>
          <w:sz w:val="32"/>
          <w:szCs w:val="32"/>
          <w:highlight w:val="none"/>
        </w:rPr>
        <w:t>激励机制</w:t>
      </w:r>
    </w:p>
    <w:p>
      <w:pPr>
        <w:shd w:val="clea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第</w:t>
      </w:r>
      <w:r>
        <w:rPr>
          <w:rFonts w:hint="eastAsia" w:ascii="仿宋" w:hAnsi="仿宋" w:eastAsia="仿宋"/>
          <w:sz w:val="32"/>
          <w:szCs w:val="32"/>
          <w:highlight w:val="none"/>
          <w:lang w:eastAsia="zh-CN"/>
        </w:rPr>
        <w:t>十九</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引导基金参股的子基金在清算时，</w:t>
      </w:r>
      <w:r>
        <w:rPr>
          <w:rFonts w:hint="eastAsia" w:ascii="仿宋" w:hAnsi="仿宋" w:eastAsia="仿宋"/>
          <w:sz w:val="32"/>
          <w:szCs w:val="32"/>
          <w:highlight w:val="none"/>
          <w:lang w:val="en-US" w:eastAsia="zh-CN"/>
        </w:rPr>
        <w:t>完成返投要求的</w:t>
      </w:r>
      <w:r>
        <w:rPr>
          <w:rFonts w:hint="eastAsia" w:ascii="仿宋" w:hAnsi="仿宋" w:eastAsia="仿宋"/>
          <w:sz w:val="32"/>
          <w:szCs w:val="32"/>
          <w:highlight w:val="none"/>
        </w:rPr>
        <w:t>，</w:t>
      </w:r>
      <w:r>
        <w:rPr>
          <w:rFonts w:hint="eastAsia" w:ascii="仿宋" w:hAnsi="仿宋" w:eastAsia="仿宋"/>
          <w:sz w:val="32"/>
          <w:szCs w:val="32"/>
          <w:highlight w:val="none"/>
          <w:lang w:eastAsia="zh-CN"/>
        </w:rPr>
        <w:t>引导基金可适当</w:t>
      </w:r>
      <w:r>
        <w:rPr>
          <w:rFonts w:hint="eastAsia" w:ascii="仿宋" w:hAnsi="仿宋" w:eastAsia="仿宋"/>
          <w:sz w:val="32"/>
          <w:szCs w:val="32"/>
          <w:highlight w:val="none"/>
          <w:lang w:val="en-US" w:eastAsia="zh-CN"/>
        </w:rPr>
        <w:t>让利予子基金的其他出资人或子基金管理团队。让利方案如下：</w:t>
      </w:r>
    </w:p>
    <w:p>
      <w:pPr>
        <w:numPr>
          <w:ilvl w:val="0"/>
          <w:numId w:val="2"/>
        </w:numPr>
        <w:shd w:val="clear"/>
        <w:ind w:firstLine="420" w:firstLineChars="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引导基金参股子基金形成的股权，在达到投资协议中关于投资于</w:t>
      </w:r>
      <w:r>
        <w:rPr>
          <w:rFonts w:hint="eastAsia" w:ascii="仿宋" w:hAnsi="仿宋" w:eastAsia="仿宋"/>
          <w:b w:val="0"/>
          <w:bCs w:val="0"/>
          <w:sz w:val="32"/>
          <w:szCs w:val="32"/>
          <w:highlight w:val="none"/>
          <w:lang w:eastAsia="zh-CN"/>
        </w:rPr>
        <w:t>商事登记</w:t>
      </w:r>
      <w:r>
        <w:rPr>
          <w:rFonts w:hint="eastAsia" w:ascii="仿宋" w:hAnsi="仿宋" w:eastAsia="仿宋"/>
          <w:b w:val="0"/>
          <w:bCs w:val="0"/>
          <w:sz w:val="32"/>
          <w:szCs w:val="32"/>
          <w:highlight w:val="none"/>
          <w:lang w:val="en-US" w:eastAsia="zh-CN"/>
        </w:rPr>
        <w:t>或税收归属</w:t>
      </w:r>
      <w:r>
        <w:rPr>
          <w:rFonts w:hint="eastAsia" w:ascii="仿宋" w:hAnsi="仿宋" w:eastAsia="仿宋"/>
          <w:b w:val="0"/>
          <w:bCs w:val="0"/>
          <w:sz w:val="32"/>
          <w:szCs w:val="32"/>
          <w:highlight w:val="none"/>
          <w:lang w:eastAsia="zh-CN"/>
        </w:rPr>
        <w:t>在</w:t>
      </w:r>
      <w:r>
        <w:rPr>
          <w:rFonts w:hint="eastAsia" w:ascii="仿宋" w:hAnsi="仿宋" w:eastAsia="仿宋"/>
          <w:b w:val="0"/>
          <w:bCs w:val="0"/>
          <w:sz w:val="32"/>
          <w:szCs w:val="32"/>
          <w:highlight w:val="none"/>
        </w:rPr>
        <w:t>厦门</w:t>
      </w:r>
      <w:r>
        <w:rPr>
          <w:rFonts w:hint="eastAsia" w:ascii="仿宋" w:hAnsi="仿宋" w:eastAsia="仿宋"/>
          <w:b w:val="0"/>
          <w:bCs w:val="0"/>
          <w:sz w:val="32"/>
          <w:szCs w:val="32"/>
          <w:highlight w:val="none"/>
          <w:lang w:eastAsia="zh-CN"/>
        </w:rPr>
        <w:t>自贸片区</w:t>
      </w:r>
      <w:r>
        <w:rPr>
          <w:rFonts w:hint="eastAsia" w:ascii="仿宋" w:hAnsi="仿宋" w:eastAsia="仿宋"/>
          <w:b w:val="0"/>
          <w:bCs w:val="0"/>
          <w:sz w:val="32"/>
          <w:szCs w:val="32"/>
          <w:highlight w:val="none"/>
        </w:rPr>
        <w:t>企业</w:t>
      </w:r>
      <w:r>
        <w:rPr>
          <w:rFonts w:hint="eastAsia" w:ascii="仿宋" w:hAnsi="仿宋" w:eastAsia="仿宋"/>
          <w:sz w:val="32"/>
          <w:szCs w:val="32"/>
          <w:highlight w:val="none"/>
          <w:lang w:eastAsia="zh-CN"/>
        </w:rPr>
        <w:t>的投资目标时，在有受让人情况下可以随时退出。子基金其他出资人不优先于引导基金退出。自引导基金投入后4年内转让的，在保障引导基金收回投资本金的情况下</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lang w:eastAsia="zh-CN"/>
        </w:rPr>
        <w:t>可</w:t>
      </w:r>
      <w:r>
        <w:rPr>
          <w:rFonts w:hint="eastAsia" w:ascii="仿宋" w:hAnsi="仿宋" w:eastAsia="仿宋"/>
          <w:sz w:val="32"/>
          <w:szCs w:val="32"/>
          <w:highlight w:val="none"/>
        </w:rPr>
        <w:t>根据子基金</w:t>
      </w:r>
      <w:r>
        <w:rPr>
          <w:rFonts w:hint="eastAsia" w:ascii="仿宋" w:hAnsi="仿宋" w:eastAsia="仿宋"/>
          <w:sz w:val="32"/>
          <w:szCs w:val="32"/>
          <w:highlight w:val="none"/>
          <w:lang w:eastAsia="zh-CN"/>
        </w:rPr>
        <w:t>返投业绩完成情况，报引导基金联席会审议后给予子基金或管理人适当让利，转让金额最低可参考</w:t>
      </w:r>
      <w:r>
        <w:rPr>
          <w:rFonts w:hint="eastAsia" w:ascii="仿宋" w:hAnsi="仿宋" w:eastAsia="仿宋"/>
          <w:sz w:val="32"/>
          <w:szCs w:val="32"/>
        </w:rPr>
        <w:t>引导基金原始投资额与股权转让时中国人民银行公布的同期存款基准利率计算的收益之和</w:t>
      </w:r>
      <w:r>
        <w:rPr>
          <w:rFonts w:hint="eastAsia" w:ascii="仿宋" w:hAnsi="仿宋" w:eastAsia="仿宋"/>
          <w:sz w:val="32"/>
          <w:szCs w:val="32"/>
          <w:lang w:eastAsia="zh-CN"/>
        </w:rPr>
        <w:t>确定</w:t>
      </w:r>
      <w:r>
        <w:rPr>
          <w:rFonts w:hint="eastAsia" w:ascii="仿宋" w:hAnsi="仿宋" w:eastAsia="仿宋"/>
          <w:sz w:val="32"/>
          <w:szCs w:val="32"/>
          <w:highlight w:val="none"/>
          <w:lang w:eastAsia="zh-CN"/>
        </w:rPr>
        <w:t>；超过4年的，转让价格以市场化方式协商确定。</w:t>
      </w:r>
    </w:p>
    <w:p>
      <w:pPr>
        <w:numPr>
          <w:ilvl w:val="0"/>
          <w:numId w:val="2"/>
        </w:numPr>
        <w:shd w:val="clear"/>
        <w:spacing w:line="240" w:lineRule="auto"/>
        <w:ind w:firstLine="420" w:firstLineChars="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子基金</w:t>
      </w:r>
      <w:r>
        <w:rPr>
          <w:rFonts w:hint="eastAsia" w:ascii="仿宋" w:hAnsi="仿宋" w:eastAsia="仿宋"/>
          <w:sz w:val="32"/>
          <w:szCs w:val="32"/>
          <w:highlight w:val="none"/>
        </w:rPr>
        <w:t>按具体项目进行收益分配</w:t>
      </w:r>
      <w:r>
        <w:rPr>
          <w:rFonts w:hint="eastAsia" w:ascii="仿宋" w:hAnsi="仿宋" w:eastAsia="仿宋"/>
          <w:sz w:val="32"/>
          <w:szCs w:val="32"/>
          <w:highlight w:val="none"/>
          <w:lang w:eastAsia="zh-CN"/>
        </w:rPr>
        <w:t>的，</w:t>
      </w:r>
      <w:r>
        <w:rPr>
          <w:rFonts w:hint="eastAsia" w:ascii="仿宋" w:hAnsi="仿宋" w:eastAsia="仿宋"/>
          <w:sz w:val="32"/>
          <w:szCs w:val="32"/>
          <w:highlight w:val="none"/>
          <w:lang w:val="en-US" w:eastAsia="zh-CN"/>
        </w:rPr>
        <w:t>原则上子基金投资于</w:t>
      </w:r>
      <w:r>
        <w:rPr>
          <w:rFonts w:hint="eastAsia" w:ascii="仿宋" w:hAnsi="仿宋" w:eastAsia="仿宋"/>
          <w:sz w:val="32"/>
          <w:szCs w:val="32"/>
          <w:highlight w:val="none"/>
        </w:rPr>
        <w:t>厦门自贸片区企业以及与自贸片区内重点产业协同发展的厦门市企业</w:t>
      </w:r>
      <w:r>
        <w:rPr>
          <w:rFonts w:hint="eastAsia" w:ascii="仿宋" w:hAnsi="仿宋" w:eastAsia="仿宋"/>
          <w:sz w:val="32"/>
          <w:szCs w:val="32"/>
          <w:highlight w:val="none"/>
          <w:lang w:val="en-US" w:eastAsia="zh-CN"/>
        </w:rPr>
        <w:t>的总退出收</w:t>
      </w:r>
      <w:bookmarkStart w:id="0" w:name="_GoBack"/>
      <w:bookmarkEnd w:id="0"/>
      <w:r>
        <w:rPr>
          <w:rFonts w:hint="eastAsia" w:ascii="仿宋" w:hAnsi="仿宋" w:eastAsia="仿宋"/>
          <w:sz w:val="32"/>
          <w:szCs w:val="32"/>
          <w:highlight w:val="none"/>
          <w:lang w:val="en-US" w:eastAsia="zh-CN"/>
        </w:rPr>
        <w:t>益中归属于引导基金的收益，部分可让利予产业子基金的其他出资人或产业子基金管理团队</w:t>
      </w:r>
      <w:r>
        <w:rPr>
          <w:rFonts w:hint="eastAsia" w:ascii="仿宋" w:hAnsi="仿宋" w:eastAsia="仿宋"/>
          <w:sz w:val="32"/>
          <w:szCs w:val="32"/>
          <w:highlight w:val="none"/>
          <w:lang w:eastAsia="zh-CN"/>
        </w:rPr>
        <w:t>。让利总额不超过引导基金在产业子基金清算时获得的总收益。</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第二十条</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引导基金退出所参股的项目公司时，可参照对子基金的激励机制，对项目公司或其关联股东、实际控制人给予让利优惠。</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上述激励条款</w:t>
      </w:r>
      <w:r>
        <w:rPr>
          <w:rFonts w:hint="eastAsia" w:ascii="仿宋" w:hAnsi="仿宋" w:eastAsia="仿宋"/>
          <w:sz w:val="32"/>
          <w:szCs w:val="32"/>
          <w:highlight w:val="none"/>
          <w:lang w:eastAsia="zh-CN"/>
        </w:rPr>
        <w:t>应由管理机构</w:t>
      </w:r>
      <w:r>
        <w:rPr>
          <w:rFonts w:hint="eastAsia" w:ascii="仿宋" w:hAnsi="仿宋" w:eastAsia="仿宋"/>
          <w:sz w:val="32"/>
          <w:szCs w:val="32"/>
          <w:highlight w:val="none"/>
        </w:rPr>
        <w:t>在子基金或投资项目的投资协议文件中约定，</w:t>
      </w:r>
      <w:r>
        <w:rPr>
          <w:rFonts w:hint="eastAsia" w:ascii="仿宋" w:hAnsi="仿宋" w:eastAsia="仿宋"/>
          <w:sz w:val="32"/>
          <w:szCs w:val="32"/>
          <w:highlight w:val="none"/>
          <w:lang w:eastAsia="zh-CN"/>
        </w:rPr>
        <w:t>执行激励前，由子基金管理人提出申请并附对厦门自贸片区产业投资或招商引资实际执行情况，经引导基金联席会议办公室审核，报</w:t>
      </w:r>
      <w:r>
        <w:rPr>
          <w:rFonts w:hint="eastAsia" w:ascii="仿宋" w:hAnsi="仿宋" w:eastAsia="仿宋"/>
          <w:sz w:val="32"/>
          <w:szCs w:val="32"/>
          <w:highlight w:val="none"/>
        </w:rPr>
        <w:t>联席会议决策。</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二</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在子基金和投资项目退出后，引导基金收回成本并获得利润的，可按引导基金所得利润的一定比例奖励给</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shd w:val="clear"/>
        <w:spacing w:line="580" w:lineRule="exact"/>
        <w:jc w:val="center"/>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第七章</w:t>
      </w:r>
      <w:r>
        <w:rPr>
          <w:rFonts w:ascii="仿宋" w:hAnsi="仿宋" w:eastAsia="仿宋"/>
          <w:b/>
          <w:sz w:val="32"/>
          <w:szCs w:val="32"/>
          <w:highlight w:val="none"/>
        </w:rPr>
        <w:t xml:space="preserve"> </w:t>
      </w:r>
      <w:r>
        <w:rPr>
          <w:rFonts w:hint="eastAsia" w:ascii="仿宋" w:hAnsi="仿宋" w:eastAsia="仿宋"/>
          <w:b/>
          <w:sz w:val="32"/>
          <w:szCs w:val="32"/>
          <w:highlight w:val="none"/>
        </w:rPr>
        <w:t>风险控制</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三</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子基金应在公司章程或合伙协议中明确指出不得从事以下业务：</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）从事担保、抵押、委托贷款、房地产等业务；</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二</w:t>
      </w:r>
      <w:r>
        <w:rPr>
          <w:rFonts w:hint="eastAsia" w:ascii="仿宋" w:hAnsi="仿宋" w:eastAsia="仿宋"/>
          <w:sz w:val="32"/>
          <w:szCs w:val="32"/>
          <w:highlight w:val="none"/>
        </w:rPr>
        <w:t>）投资二级市场股票、期货、房地产、证券投资基金、评级AAA以下的企业债、信托产品、非保本型理财产品、保险计划及其他金融衍生品；</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三</w:t>
      </w:r>
      <w:r>
        <w:rPr>
          <w:rFonts w:hint="eastAsia" w:ascii="仿宋" w:hAnsi="仿宋" w:eastAsia="仿宋"/>
          <w:sz w:val="32"/>
          <w:szCs w:val="32"/>
          <w:highlight w:val="none"/>
        </w:rPr>
        <w:t>）向任何第三人提供赞助、捐赠等；</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四</w:t>
      </w:r>
      <w:r>
        <w:rPr>
          <w:rFonts w:hint="eastAsia" w:ascii="仿宋" w:hAnsi="仿宋" w:eastAsia="仿宋"/>
          <w:sz w:val="32"/>
          <w:szCs w:val="32"/>
          <w:highlight w:val="none"/>
        </w:rPr>
        <w:t>）吸收或变相吸收存款，或向任何第三人提供贷款和资金拆借；</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五</w:t>
      </w:r>
      <w:r>
        <w:rPr>
          <w:rFonts w:hint="eastAsia" w:ascii="仿宋" w:hAnsi="仿宋" w:eastAsia="仿宋"/>
          <w:sz w:val="32"/>
          <w:szCs w:val="32"/>
          <w:highlight w:val="none"/>
        </w:rPr>
        <w:t>）进行承担无限连带责任的对外投资；</w:t>
      </w:r>
    </w:p>
    <w:p>
      <w:pPr>
        <w:shd w:val="clear"/>
        <w:spacing w:line="58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六</w:t>
      </w:r>
      <w:r>
        <w:rPr>
          <w:rFonts w:hint="eastAsia" w:ascii="仿宋" w:hAnsi="仿宋" w:eastAsia="仿宋"/>
          <w:sz w:val="32"/>
          <w:szCs w:val="32"/>
          <w:highlight w:val="none"/>
        </w:rPr>
        <w:t>）发行信托或集合理财产品募集资金；</w:t>
      </w:r>
    </w:p>
    <w:p>
      <w:pPr>
        <w:shd w:val="clear"/>
        <w:spacing w:line="58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（七）名股实债等变相增加政府债务的行为；</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八</w:t>
      </w:r>
      <w:r>
        <w:rPr>
          <w:rFonts w:hint="eastAsia" w:ascii="仿宋" w:hAnsi="仿宋" w:eastAsia="仿宋"/>
          <w:sz w:val="32"/>
          <w:szCs w:val="32"/>
          <w:highlight w:val="none"/>
        </w:rPr>
        <w:t>）其他国家法律法规禁止从事的业务。</w:t>
      </w:r>
    </w:p>
    <w:p>
      <w:pPr>
        <w:shd w:val="clear"/>
        <w:spacing w:line="580" w:lineRule="exact"/>
        <w:ind w:firstLine="600" w:firstLineChars="200"/>
        <w:rPr>
          <w:rFonts w:hint="eastAsia" w:ascii="仿宋" w:hAnsi="仿宋" w:eastAsia="仿宋" w:cs="Times New Roman"/>
          <w:sz w:val="30"/>
          <w:szCs w:val="30"/>
          <w:highlight w:val="none"/>
          <w:lang w:eastAsia="zh-CN"/>
        </w:rPr>
      </w:pPr>
      <w:r>
        <w:rPr>
          <w:rFonts w:hint="eastAsia" w:ascii="仿宋" w:hAnsi="仿宋" w:eastAsia="仿宋"/>
          <w:sz w:val="30"/>
          <w:szCs w:val="30"/>
          <w:highlight w:val="none"/>
          <w:lang w:eastAsia="zh-CN"/>
        </w:rPr>
        <w:t>第二十四条 子基金的待投</w:t>
      </w:r>
      <w:r>
        <w:rPr>
          <w:rFonts w:hint="eastAsia" w:ascii="仿宋" w:hAnsi="仿宋" w:eastAsia="仿宋" w:cs="Times New Roman"/>
          <w:sz w:val="30"/>
          <w:szCs w:val="30"/>
          <w:highlight w:val="none"/>
          <w:lang w:eastAsia="zh-CN"/>
        </w:rPr>
        <w:t>资金资产，可存放银行、购买央行票据、国债、大额存单、其他经所有合伙人同意的方式进行的法律法规所允许的投资。</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五</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子基金管理机构在完成子基金</w:t>
      </w:r>
      <w:r>
        <w:rPr>
          <w:rFonts w:ascii="仿宋" w:hAnsi="仿宋" w:eastAsia="仿宋"/>
          <w:sz w:val="32"/>
          <w:szCs w:val="32"/>
          <w:highlight w:val="none"/>
        </w:rPr>
        <w:t>70%的资金委托投资之前，不得募集其他基金。</w:t>
      </w:r>
      <w:r>
        <w:rPr>
          <w:rFonts w:hint="eastAsia" w:ascii="仿宋" w:hAnsi="仿宋" w:eastAsia="仿宋"/>
          <w:sz w:val="32"/>
          <w:szCs w:val="32"/>
          <w:highlight w:val="none"/>
        </w:rPr>
        <w:t>子基金的待投资金应存放托管</w:t>
      </w:r>
      <w:r>
        <w:rPr>
          <w:rFonts w:hint="eastAsia" w:ascii="仿宋" w:hAnsi="仿宋" w:eastAsia="仿宋"/>
          <w:sz w:val="32"/>
          <w:szCs w:val="32"/>
          <w:highlight w:val="none"/>
          <w:lang w:val="en-US" w:eastAsia="zh-CN"/>
        </w:rPr>
        <w:t>金融机构</w:t>
      </w:r>
      <w:r>
        <w:rPr>
          <w:rFonts w:hint="eastAsia" w:ascii="仿宋" w:hAnsi="仿宋" w:eastAsia="仿宋"/>
          <w:sz w:val="32"/>
          <w:szCs w:val="32"/>
          <w:highlight w:val="none"/>
        </w:rPr>
        <w:t>或购买国债等符合国家有关规定的金融产品。</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六</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引导基金以出资额为限对子基金和项目公司债务承担责任。</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七</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引导基金应当选择具有</w:t>
      </w:r>
      <w:r>
        <w:rPr>
          <w:rFonts w:hint="eastAsia" w:ascii="仿宋" w:hAnsi="仿宋" w:eastAsia="仿宋"/>
          <w:sz w:val="32"/>
          <w:szCs w:val="32"/>
          <w:highlight w:val="none"/>
          <w:lang w:eastAsia="zh-CN"/>
        </w:rPr>
        <w:t>托管资质</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金融机构</w:t>
      </w:r>
      <w:r>
        <w:rPr>
          <w:rFonts w:hint="eastAsia" w:ascii="仿宋" w:hAnsi="仿宋" w:eastAsia="仿宋"/>
          <w:sz w:val="32"/>
          <w:szCs w:val="32"/>
          <w:highlight w:val="none"/>
        </w:rPr>
        <w:t>进行托管，具体负责引导基金的资金拨付、清算和日常监控；托管</w:t>
      </w:r>
      <w:r>
        <w:rPr>
          <w:rFonts w:hint="eastAsia" w:ascii="仿宋" w:hAnsi="仿宋" w:eastAsia="仿宋"/>
          <w:sz w:val="32"/>
          <w:szCs w:val="32"/>
          <w:highlight w:val="none"/>
          <w:lang w:eastAsia="zh-CN"/>
        </w:rPr>
        <w:t>金融机构</w:t>
      </w:r>
      <w:r>
        <w:rPr>
          <w:rFonts w:hint="eastAsia" w:ascii="仿宋" w:hAnsi="仿宋" w:eastAsia="仿宋"/>
          <w:sz w:val="32"/>
          <w:szCs w:val="32"/>
          <w:highlight w:val="none"/>
        </w:rPr>
        <w:t>应当定期报告资金情况。</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w:t>
      </w:r>
      <w:r>
        <w:rPr>
          <w:rFonts w:hint="eastAsia" w:ascii="仿宋" w:hAnsi="仿宋" w:eastAsia="仿宋"/>
          <w:sz w:val="32"/>
          <w:szCs w:val="32"/>
          <w:highlight w:val="none"/>
          <w:lang w:eastAsia="zh-CN"/>
        </w:rPr>
        <w:t>二十八</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引导基金委托</w:t>
      </w:r>
      <w:r>
        <w:rPr>
          <w:rFonts w:hint="eastAsia" w:ascii="仿宋" w:hAnsi="仿宋" w:eastAsia="仿宋"/>
          <w:sz w:val="32"/>
          <w:szCs w:val="32"/>
          <w:highlight w:val="none"/>
          <w:lang w:eastAsia="zh-CN"/>
        </w:rPr>
        <w:t>引导基金受托管理机构</w:t>
      </w:r>
      <w:r>
        <w:rPr>
          <w:rFonts w:hint="eastAsia" w:ascii="仿宋" w:hAnsi="仿宋" w:eastAsia="仿宋"/>
          <w:sz w:val="32"/>
          <w:szCs w:val="32"/>
          <w:highlight w:val="none"/>
        </w:rPr>
        <w:t>进行管理，政府部门及其受托管理机构不得干预所参股子基金所投资项目的市场化决策，不干预所参投项目公司的经营决策</w:t>
      </w:r>
      <w:r>
        <w:rPr>
          <w:rFonts w:hint="eastAsia" w:ascii="仿宋" w:hAnsi="仿宋" w:eastAsia="仿宋"/>
          <w:sz w:val="32"/>
          <w:szCs w:val="32"/>
          <w:highlight w:val="none"/>
          <w:lang w:eastAsia="zh-CN"/>
        </w:rPr>
        <w:t>（第六条第四款情形除外）</w:t>
      </w:r>
      <w:r>
        <w:rPr>
          <w:rFonts w:hint="eastAsia" w:ascii="仿宋" w:hAnsi="仿宋" w:eastAsia="仿宋"/>
          <w:sz w:val="32"/>
          <w:szCs w:val="32"/>
          <w:highlight w:val="none"/>
        </w:rPr>
        <w:t>，但在所参与子基金及项目公司违法、违规和偏离政策导向的情况下，可按照合同约定，行使一票否决权。</w:t>
      </w:r>
      <w:r>
        <w:rPr>
          <w:rFonts w:ascii="仿宋" w:hAnsi="仿宋" w:eastAsia="仿宋"/>
          <w:sz w:val="32"/>
          <w:szCs w:val="32"/>
          <w:highlight w:val="none"/>
        </w:rPr>
        <w:t xml:space="preserve"> </w:t>
      </w:r>
    </w:p>
    <w:p>
      <w:pPr>
        <w:shd w:val="clear"/>
        <w:spacing w:line="580" w:lineRule="exact"/>
        <w:ind w:firstLine="640" w:firstLineChars="200"/>
        <w:rPr>
          <w:rFonts w:ascii="仿宋" w:hAnsi="仿宋" w:eastAsia="仿宋"/>
          <w:sz w:val="32"/>
          <w:szCs w:val="32"/>
          <w:highlight w:val="none"/>
        </w:rPr>
      </w:pPr>
    </w:p>
    <w:p>
      <w:pPr>
        <w:shd w:val="clear"/>
        <w:spacing w:line="580" w:lineRule="exact"/>
        <w:jc w:val="center"/>
        <w:rPr>
          <w:rFonts w:ascii="仿宋" w:hAnsi="仿宋" w:eastAsia="仿宋"/>
          <w:b/>
          <w:sz w:val="32"/>
          <w:szCs w:val="32"/>
          <w:highlight w:val="none"/>
        </w:rPr>
      </w:pPr>
      <w:r>
        <w:rPr>
          <w:rFonts w:hint="eastAsia" w:ascii="仿宋" w:hAnsi="仿宋" w:eastAsia="仿宋"/>
          <w:b/>
          <w:sz w:val="32"/>
          <w:szCs w:val="32"/>
          <w:highlight w:val="none"/>
        </w:rPr>
        <w:t>第八章</w:t>
      </w:r>
      <w:r>
        <w:rPr>
          <w:rFonts w:ascii="仿宋" w:hAnsi="仿宋" w:eastAsia="仿宋"/>
          <w:b/>
          <w:sz w:val="32"/>
          <w:szCs w:val="32"/>
          <w:highlight w:val="none"/>
        </w:rPr>
        <w:t xml:space="preserve"> </w:t>
      </w:r>
      <w:r>
        <w:rPr>
          <w:rFonts w:hint="eastAsia" w:ascii="仿宋" w:hAnsi="仿宋" w:eastAsia="仿宋"/>
          <w:b/>
          <w:sz w:val="32"/>
          <w:szCs w:val="32"/>
          <w:highlight w:val="none"/>
        </w:rPr>
        <w:t>附则</w:t>
      </w:r>
    </w:p>
    <w:p>
      <w:pPr>
        <w:shd w:val="clea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第</w:t>
      </w:r>
      <w:r>
        <w:rPr>
          <w:rFonts w:hint="eastAsia" w:ascii="仿宋" w:hAnsi="仿宋" w:eastAsia="仿宋"/>
          <w:sz w:val="32"/>
          <w:szCs w:val="32"/>
          <w:highlight w:val="none"/>
          <w:lang w:eastAsia="zh-CN"/>
        </w:rPr>
        <w:t>二十九</w:t>
      </w:r>
      <w:r>
        <w:rPr>
          <w:rFonts w:hint="eastAsia" w:ascii="仿宋" w:hAnsi="仿宋" w:eastAsia="仿宋"/>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rPr>
        <w:t>本办法由联席会议办公室负责解释</w:t>
      </w:r>
      <w:r>
        <w:rPr>
          <w:rFonts w:hint="eastAsia" w:ascii="仿宋" w:hAnsi="仿宋" w:eastAsia="仿宋"/>
          <w:sz w:val="32"/>
          <w:szCs w:val="32"/>
          <w:highlight w:val="none"/>
          <w:lang w:eastAsia="zh-CN"/>
        </w:rPr>
        <w:t>，涉及突破本办法的投资事项需</w:t>
      </w:r>
      <w:r>
        <w:rPr>
          <w:rFonts w:hint="eastAsia" w:ascii="仿宋_GB2312" w:eastAsia="仿宋_GB2312"/>
          <w:sz w:val="32"/>
          <w:szCs w:val="32"/>
          <w:highlight w:val="none"/>
          <w:lang w:eastAsia="zh-CN"/>
        </w:rPr>
        <w:t>提交自贸委主任办公会审批</w:t>
      </w:r>
      <w:r>
        <w:rPr>
          <w:rFonts w:hint="eastAsia" w:ascii="仿宋" w:hAnsi="仿宋" w:eastAsia="仿宋"/>
          <w:sz w:val="32"/>
          <w:szCs w:val="32"/>
          <w:highlight w:val="none"/>
        </w:rPr>
        <w:t>。</w:t>
      </w:r>
    </w:p>
    <w:p>
      <w:pPr>
        <w:shd w:val="clear"/>
        <w:spacing w:line="580" w:lineRule="exact"/>
        <w:ind w:firstLine="640" w:firstLineChars="200"/>
        <w:rPr>
          <w:rFonts w:ascii="仿宋" w:hAnsi="仿宋" w:eastAsia="仿宋"/>
          <w:strike/>
          <w:sz w:val="32"/>
          <w:szCs w:val="32"/>
          <w:highlight w:val="none"/>
        </w:rPr>
      </w:pPr>
      <w:r>
        <w:rPr>
          <w:rFonts w:hint="eastAsia" w:ascii="仿宋" w:hAnsi="仿宋" w:eastAsia="仿宋"/>
          <w:sz w:val="32"/>
          <w:szCs w:val="32"/>
          <w:highlight w:val="none"/>
        </w:rPr>
        <w:t>第三十条</w:t>
      </w:r>
      <w:r>
        <w:rPr>
          <w:rFonts w:ascii="仿宋" w:hAnsi="仿宋" w:eastAsia="仿宋"/>
          <w:sz w:val="32"/>
          <w:szCs w:val="32"/>
          <w:highlight w:val="none"/>
        </w:rPr>
        <w:t xml:space="preserve"> </w:t>
      </w:r>
      <w:r>
        <w:rPr>
          <w:rFonts w:hint="eastAsia" w:ascii="仿宋" w:hAnsi="仿宋" w:eastAsia="仿宋"/>
          <w:sz w:val="32"/>
          <w:szCs w:val="32"/>
          <w:highlight w:val="none"/>
        </w:rPr>
        <w:t>本办法自印发之日起施行。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987E"/>
    <w:multiLevelType w:val="singleLevel"/>
    <w:tmpl w:val="111E987E"/>
    <w:lvl w:ilvl="0" w:tentative="0">
      <w:start w:val="1"/>
      <w:numFmt w:val="chineseCounting"/>
      <w:suff w:val="nothing"/>
      <w:lvlText w:val="（%1）"/>
      <w:lvlJc w:val="left"/>
      <w:pPr>
        <w:ind w:left="0" w:firstLine="420"/>
      </w:pPr>
      <w:rPr>
        <w:rFonts w:hint="eastAsia"/>
      </w:rPr>
    </w:lvl>
  </w:abstractNum>
  <w:abstractNum w:abstractNumId="1">
    <w:nsid w:val="538B9F8F"/>
    <w:multiLevelType w:val="singleLevel"/>
    <w:tmpl w:val="538B9F8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606DA5"/>
    <w:rsid w:val="00413E66"/>
    <w:rsid w:val="0056776E"/>
    <w:rsid w:val="005A2363"/>
    <w:rsid w:val="00606DA5"/>
    <w:rsid w:val="00CE2B10"/>
    <w:rsid w:val="03887A01"/>
    <w:rsid w:val="03E8391A"/>
    <w:rsid w:val="06773D7E"/>
    <w:rsid w:val="076041AC"/>
    <w:rsid w:val="07D60C55"/>
    <w:rsid w:val="09DE4A69"/>
    <w:rsid w:val="0A1A5292"/>
    <w:rsid w:val="0B864D82"/>
    <w:rsid w:val="0B9340D9"/>
    <w:rsid w:val="0C71122C"/>
    <w:rsid w:val="0D3D2ECE"/>
    <w:rsid w:val="0D7F197F"/>
    <w:rsid w:val="0DEF106E"/>
    <w:rsid w:val="0E000DE1"/>
    <w:rsid w:val="0E5962D1"/>
    <w:rsid w:val="0E6D6377"/>
    <w:rsid w:val="0E9D0011"/>
    <w:rsid w:val="0EDA74EC"/>
    <w:rsid w:val="0F345C7B"/>
    <w:rsid w:val="0FB87442"/>
    <w:rsid w:val="0FFB07A5"/>
    <w:rsid w:val="1003473D"/>
    <w:rsid w:val="10487444"/>
    <w:rsid w:val="115C5526"/>
    <w:rsid w:val="12E3348D"/>
    <w:rsid w:val="134A7F7D"/>
    <w:rsid w:val="13A31E9A"/>
    <w:rsid w:val="145F03A5"/>
    <w:rsid w:val="15086554"/>
    <w:rsid w:val="159804F8"/>
    <w:rsid w:val="159B4CDB"/>
    <w:rsid w:val="15EE1255"/>
    <w:rsid w:val="17027D6C"/>
    <w:rsid w:val="17E97B20"/>
    <w:rsid w:val="18097D23"/>
    <w:rsid w:val="186D0C41"/>
    <w:rsid w:val="19E635F3"/>
    <w:rsid w:val="1A2D405D"/>
    <w:rsid w:val="1AB00839"/>
    <w:rsid w:val="1AC32D4F"/>
    <w:rsid w:val="1B0C35DA"/>
    <w:rsid w:val="1C436EBE"/>
    <w:rsid w:val="1C58491F"/>
    <w:rsid w:val="1D3D7C40"/>
    <w:rsid w:val="1E1D68C7"/>
    <w:rsid w:val="1E3F0E59"/>
    <w:rsid w:val="1EDA2304"/>
    <w:rsid w:val="1EF9671D"/>
    <w:rsid w:val="1F247D01"/>
    <w:rsid w:val="1F3A0E2D"/>
    <w:rsid w:val="20283DCE"/>
    <w:rsid w:val="20D518A4"/>
    <w:rsid w:val="216A2EE6"/>
    <w:rsid w:val="221A1246"/>
    <w:rsid w:val="22327A68"/>
    <w:rsid w:val="226A3CB4"/>
    <w:rsid w:val="227F6FAC"/>
    <w:rsid w:val="23896F00"/>
    <w:rsid w:val="23BD2E8F"/>
    <w:rsid w:val="23E13E7E"/>
    <w:rsid w:val="24725B60"/>
    <w:rsid w:val="24787510"/>
    <w:rsid w:val="247908B3"/>
    <w:rsid w:val="257024FB"/>
    <w:rsid w:val="2584171D"/>
    <w:rsid w:val="260F1795"/>
    <w:rsid w:val="286E4637"/>
    <w:rsid w:val="2A1778F0"/>
    <w:rsid w:val="2A262BF9"/>
    <w:rsid w:val="2AA85927"/>
    <w:rsid w:val="2B1241AC"/>
    <w:rsid w:val="2BC97AA9"/>
    <w:rsid w:val="2CEB77EF"/>
    <w:rsid w:val="2CFF0F6C"/>
    <w:rsid w:val="2DDA1298"/>
    <w:rsid w:val="2E2A7EF0"/>
    <w:rsid w:val="2E4B2E39"/>
    <w:rsid w:val="2E546D5E"/>
    <w:rsid w:val="2E741E44"/>
    <w:rsid w:val="30E615E9"/>
    <w:rsid w:val="31695C24"/>
    <w:rsid w:val="3176088A"/>
    <w:rsid w:val="317D66FE"/>
    <w:rsid w:val="32A652D4"/>
    <w:rsid w:val="34760B72"/>
    <w:rsid w:val="36745274"/>
    <w:rsid w:val="369A702A"/>
    <w:rsid w:val="36A07356"/>
    <w:rsid w:val="36FD03EB"/>
    <w:rsid w:val="3717425A"/>
    <w:rsid w:val="372926EE"/>
    <w:rsid w:val="384F0091"/>
    <w:rsid w:val="390D767C"/>
    <w:rsid w:val="391F4032"/>
    <w:rsid w:val="399A5770"/>
    <w:rsid w:val="39FD0440"/>
    <w:rsid w:val="3AAC3DFE"/>
    <w:rsid w:val="3AEA48C6"/>
    <w:rsid w:val="3B240F68"/>
    <w:rsid w:val="3B3463C7"/>
    <w:rsid w:val="3BC52DA3"/>
    <w:rsid w:val="3C0C63D8"/>
    <w:rsid w:val="3C4F200B"/>
    <w:rsid w:val="3CA47609"/>
    <w:rsid w:val="3D8C15F4"/>
    <w:rsid w:val="3DAA00DF"/>
    <w:rsid w:val="3DF43C49"/>
    <w:rsid w:val="3E237CE1"/>
    <w:rsid w:val="3E954084"/>
    <w:rsid w:val="40783762"/>
    <w:rsid w:val="40A12AD3"/>
    <w:rsid w:val="40F52B0B"/>
    <w:rsid w:val="416C4771"/>
    <w:rsid w:val="42786A8A"/>
    <w:rsid w:val="43181739"/>
    <w:rsid w:val="44101FC0"/>
    <w:rsid w:val="44CC00F8"/>
    <w:rsid w:val="44F733D7"/>
    <w:rsid w:val="44FB016E"/>
    <w:rsid w:val="475E7D65"/>
    <w:rsid w:val="47EE4EC9"/>
    <w:rsid w:val="48AE4A4F"/>
    <w:rsid w:val="49251A4D"/>
    <w:rsid w:val="4AD4629C"/>
    <w:rsid w:val="4B292DFF"/>
    <w:rsid w:val="4CB15596"/>
    <w:rsid w:val="4CB77EE4"/>
    <w:rsid w:val="4D583AD2"/>
    <w:rsid w:val="4E0605D7"/>
    <w:rsid w:val="4E0F34C1"/>
    <w:rsid w:val="4E763328"/>
    <w:rsid w:val="50640AF6"/>
    <w:rsid w:val="51224B44"/>
    <w:rsid w:val="52687A6C"/>
    <w:rsid w:val="52D32AD6"/>
    <w:rsid w:val="53384F04"/>
    <w:rsid w:val="53A560B9"/>
    <w:rsid w:val="54152657"/>
    <w:rsid w:val="5417249B"/>
    <w:rsid w:val="54BD77A4"/>
    <w:rsid w:val="54F70AAA"/>
    <w:rsid w:val="554345AB"/>
    <w:rsid w:val="56891666"/>
    <w:rsid w:val="57774E37"/>
    <w:rsid w:val="57C35AF4"/>
    <w:rsid w:val="57D13953"/>
    <w:rsid w:val="585B5D90"/>
    <w:rsid w:val="58BD26D6"/>
    <w:rsid w:val="58E11480"/>
    <w:rsid w:val="5AD418A1"/>
    <w:rsid w:val="5B442021"/>
    <w:rsid w:val="5BE40776"/>
    <w:rsid w:val="5C824FA3"/>
    <w:rsid w:val="5C8E7E47"/>
    <w:rsid w:val="5D3F2EF3"/>
    <w:rsid w:val="5FF555D2"/>
    <w:rsid w:val="602C2A82"/>
    <w:rsid w:val="612E0C5E"/>
    <w:rsid w:val="615C1697"/>
    <w:rsid w:val="62145D70"/>
    <w:rsid w:val="627E2B60"/>
    <w:rsid w:val="62AE0D87"/>
    <w:rsid w:val="62DD2D9E"/>
    <w:rsid w:val="62EA0CDB"/>
    <w:rsid w:val="63694040"/>
    <w:rsid w:val="639A7A16"/>
    <w:rsid w:val="640D3A0E"/>
    <w:rsid w:val="647665D4"/>
    <w:rsid w:val="64866062"/>
    <w:rsid w:val="65FD4715"/>
    <w:rsid w:val="66DA5C4C"/>
    <w:rsid w:val="676D3864"/>
    <w:rsid w:val="684E28E4"/>
    <w:rsid w:val="6A786474"/>
    <w:rsid w:val="6AAC4123"/>
    <w:rsid w:val="6AD37E55"/>
    <w:rsid w:val="6B36663A"/>
    <w:rsid w:val="6B4678AD"/>
    <w:rsid w:val="6E6725D3"/>
    <w:rsid w:val="6FB911D0"/>
    <w:rsid w:val="6FBB0B97"/>
    <w:rsid w:val="70910262"/>
    <w:rsid w:val="71B9201B"/>
    <w:rsid w:val="7311268E"/>
    <w:rsid w:val="736E6B9E"/>
    <w:rsid w:val="738C086A"/>
    <w:rsid w:val="74152B85"/>
    <w:rsid w:val="74533381"/>
    <w:rsid w:val="755E0933"/>
    <w:rsid w:val="75A13863"/>
    <w:rsid w:val="75AE43F0"/>
    <w:rsid w:val="763E58C2"/>
    <w:rsid w:val="76A27A00"/>
    <w:rsid w:val="76C71E87"/>
    <w:rsid w:val="782D6A24"/>
    <w:rsid w:val="79F57482"/>
    <w:rsid w:val="79FC54A8"/>
    <w:rsid w:val="7A8B3376"/>
    <w:rsid w:val="7B3E7F9C"/>
    <w:rsid w:val="7B826AB3"/>
    <w:rsid w:val="7BCD7020"/>
    <w:rsid w:val="7D6D7F4B"/>
    <w:rsid w:val="7E4635CF"/>
    <w:rsid w:val="7E674327"/>
    <w:rsid w:val="7E7450D0"/>
    <w:rsid w:val="7ED37FFB"/>
    <w:rsid w:val="7F8B2DB8"/>
    <w:rsid w:val="7FF3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5"/>
    <w:qFormat/>
    <w:uiPriority w:val="1"/>
    <w:pPr>
      <w:spacing w:before="3"/>
      <w:ind w:left="113"/>
      <w:jc w:val="left"/>
    </w:pPr>
    <w:rPr>
      <w:rFonts w:ascii="微软雅黑" w:hAnsi="微软雅黑" w:eastAsia="微软雅黑" w:cs="Times New Roman"/>
      <w:kern w:val="0"/>
      <w:sz w:val="24"/>
      <w:szCs w:val="24"/>
      <w:lang w:eastAsia="en-US"/>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paragraph" w:customStyle="1" w:styleId="12">
    <w:name w:val="列出段落1"/>
    <w:basedOn w:val="1"/>
    <w:qFormat/>
    <w:uiPriority w:val="0"/>
    <w:pPr>
      <w:ind w:firstLine="200" w:firstLineChars="200"/>
    </w:pPr>
  </w:style>
  <w:style w:type="paragraph" w:customStyle="1" w:styleId="13">
    <w:name w:val="列出段落11"/>
    <w:basedOn w:val="1"/>
    <w:qFormat/>
    <w:uiPriority w:val="0"/>
    <w:pPr>
      <w:ind w:firstLine="200" w:firstLineChars="200"/>
    </w:pPr>
  </w:style>
  <w:style w:type="character" w:customStyle="1" w:styleId="14">
    <w:name w:val="批注框文本 Char"/>
    <w:basedOn w:val="11"/>
    <w:link w:val="6"/>
    <w:semiHidden/>
    <w:qFormat/>
    <w:uiPriority w:val="99"/>
    <w:rPr>
      <w:rFonts w:ascii="Calibri" w:hAnsi="Calibri" w:cs="Arial"/>
      <w:kern w:val="2"/>
      <w:sz w:val="18"/>
      <w:szCs w:val="18"/>
    </w:rPr>
  </w:style>
  <w:style w:type="character" w:customStyle="1" w:styleId="15">
    <w:name w:val="正文文本 Char"/>
    <w:link w:val="4"/>
    <w:qFormat/>
    <w:uiPriority w:val="1"/>
    <w:rPr>
      <w:rFonts w:ascii="微软雅黑" w:hAnsi="微软雅黑" w:eastAsia="微软雅黑"/>
      <w:sz w:val="24"/>
      <w:szCs w:val="24"/>
      <w:lang w:eastAsia="en-US"/>
    </w:rPr>
  </w:style>
  <w:style w:type="character" w:customStyle="1" w:styleId="16">
    <w:name w:val="正文文本 Char1"/>
    <w:basedOn w:val="11"/>
    <w:semiHidden/>
    <w:qFormat/>
    <w:uiPriority w:val="99"/>
    <w:rPr>
      <w:rFonts w:ascii="Calibri" w:hAnsi="Calibri" w:cs="Arial"/>
      <w:kern w:val="2"/>
      <w:sz w:val="21"/>
      <w:szCs w:val="22"/>
    </w:rPr>
  </w:style>
  <w:style w:type="character" w:customStyle="1" w:styleId="17">
    <w:name w:val="日期 Char"/>
    <w:basedOn w:val="11"/>
    <w:link w:val="5"/>
    <w:semiHidden/>
    <w:qFormat/>
    <w:uiPriority w:val="99"/>
    <w:rPr>
      <w:rFonts w:ascii="Calibri" w:hAnsi="Calibri" w:cs="Arial"/>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1228</Words>
  <Characters>7002</Characters>
  <Lines>58</Lines>
  <Paragraphs>16</Paragraphs>
  <TotalTime>4</TotalTime>
  <ScaleCrop>false</ScaleCrop>
  <LinksUpToDate>false</LinksUpToDate>
  <CharactersWithSpaces>8214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2019-02-19T07:38:00Z</dcterms:created>
  <dc:creator>潘小婷</dc:creator>
  <cp:lastModifiedBy>赵文武</cp:lastModifiedBy>
  <cp:lastPrinted>2020-12-21T03:03:00Z</cp:lastPrinted>
  <dcterms:modified xsi:type="dcterms:W3CDTF">2021-01-07T01:04:20Z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