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center"/>
        <w:rPr>
          <w:rFonts w:hint="eastAsia" w:ascii="黑体" w:hAnsi="黑体" w:eastAsia="黑体" w:cs="黑体"/>
          <w:b/>
          <w:i w:val="0"/>
          <w:caps w:val="0"/>
          <w:color w:val="auto"/>
          <w:spacing w:val="0"/>
          <w:kern w:val="0"/>
          <w:sz w:val="44"/>
          <w:szCs w:val="44"/>
          <w:highlight w:val="none"/>
          <w:shd w:val="clear" w:fill="FFFFFF"/>
          <w:vertAlign w:val="baseline"/>
          <w:lang w:val="en-US" w:eastAsia="zh-CN" w:bidi="ar"/>
        </w:rPr>
      </w:pPr>
      <w:r>
        <w:rPr>
          <w:rFonts w:hint="eastAsia" w:ascii="黑体" w:hAnsi="黑体" w:eastAsia="黑体" w:cs="黑体"/>
          <w:b/>
          <w:i w:val="0"/>
          <w:caps w:val="0"/>
          <w:color w:val="auto"/>
          <w:spacing w:val="0"/>
          <w:kern w:val="0"/>
          <w:sz w:val="44"/>
          <w:szCs w:val="44"/>
          <w:highlight w:val="none"/>
          <w:shd w:val="clear" w:fill="FFFFFF"/>
          <w:vertAlign w:val="baseline"/>
          <w:lang w:val="en-US" w:eastAsia="zh-CN" w:bidi="ar"/>
        </w:rPr>
        <w:t>福建自贸试验区厦门片区促进企业上市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center"/>
        <w:rPr>
          <w:rFonts w:hint="eastAsia" w:ascii="黑体" w:hAnsi="黑体" w:eastAsia="黑体" w:cs="黑体"/>
          <w:b w:val="0"/>
          <w:i w:val="0"/>
          <w:caps w:val="0"/>
          <w:color w:val="333333"/>
          <w:spacing w:val="0"/>
          <w:sz w:val="44"/>
          <w:szCs w:val="44"/>
          <w:highlight w:val="none"/>
          <w:lang w:val="en-US"/>
        </w:rPr>
      </w:pPr>
      <w:r>
        <w:rPr>
          <w:rFonts w:hint="eastAsia" w:ascii="黑体" w:hAnsi="黑体" w:eastAsia="黑体" w:cs="黑体"/>
          <w:b/>
          <w:i w:val="0"/>
          <w:caps w:val="0"/>
          <w:color w:val="auto"/>
          <w:spacing w:val="0"/>
          <w:kern w:val="0"/>
          <w:sz w:val="44"/>
          <w:szCs w:val="44"/>
          <w:highlight w:val="none"/>
          <w:shd w:val="clear" w:fill="FFFFFF"/>
          <w:vertAlign w:val="baseline"/>
          <w:lang w:val="en-US" w:eastAsia="zh-CN" w:bidi="ar"/>
        </w:rPr>
        <w:t>发展办法（2.0版）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第一条</w:t>
      </w: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 为支持福建自贸试验区厦门片区（以下简称“厦门自贸片区”或“我区”）企业借助资本市场更好地实现规范运作和快速发展，根据《关于进一步推动厦门市上市公司培育和质量提升的三年行动计划》（厦府办〔2020〕41号）和《厦门市人民政府关于印发进一步推进企业上市提高上市公司质量若干措施的通知》（厦府规〔2021〕11号）精神，结合厦门自贸片区实际，特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第二条 </w:t>
      </w: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本办法适用于在厦门自贸片区注册并纳税的企业。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第三条 上市前费用补助</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strike w:val="0"/>
          <w:color w:val="auto"/>
          <w:spacing w:val="0"/>
          <w:kern w:val="0"/>
          <w:sz w:val="32"/>
          <w:szCs w:val="32"/>
          <w:highlight w:val="none"/>
          <w:shd w:val="clear" w:fill="FFFFFF"/>
          <w:lang w:eastAsia="zh-CN" w:bidi="ar"/>
        </w:rPr>
        <w:t>证监局辅导备案。上市后备</w:t>
      </w: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企业经厦门证监局正式辅导备案后，给予300万元上市工作经费补助。</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上市申请受理。上市后备企业向中国证监会或国内证券交易所提出发行上市申请并经正式受理，给予260万元工作经费补助。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第四条 上市奖励</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firstLineChars="0"/>
        <w:jc w:val="left"/>
        <w:rPr>
          <w:rFonts w:hint="eastAsia" w:ascii="仿宋" w:hAnsi="仿宋" w:eastAsia="仿宋" w:cs="仿宋"/>
          <w:b w:val="0"/>
          <w:i w:val="0"/>
          <w:iCs w:val="0"/>
          <w:caps w:val="0"/>
          <w:strike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iCs w:val="0"/>
          <w:caps w:val="0"/>
          <w:strike w:val="0"/>
          <w:color w:val="auto"/>
          <w:spacing w:val="0"/>
          <w:kern w:val="0"/>
          <w:sz w:val="32"/>
          <w:szCs w:val="32"/>
          <w:highlight w:val="none"/>
          <w:shd w:val="clear" w:fill="FFFFFF"/>
          <w:vertAlign w:val="baseline"/>
          <w:lang w:val="en-US" w:eastAsia="zh-CN" w:bidi="ar"/>
        </w:rPr>
        <w:t>对企业依法在境内外资本市场上市后，按照融资金额</w:t>
      </w:r>
      <w:r>
        <w:rPr>
          <w:rFonts w:hint="eastAsia" w:ascii="仿宋" w:hAnsi="仿宋" w:eastAsia="仿宋" w:cs="仿宋"/>
          <w:b w:val="0"/>
          <w:bCs w:val="0"/>
          <w:i w:val="0"/>
          <w:iCs w:val="0"/>
          <w:caps w:val="0"/>
          <w:strike w:val="0"/>
          <w:color w:val="auto"/>
          <w:spacing w:val="0"/>
          <w:kern w:val="0"/>
          <w:sz w:val="32"/>
          <w:szCs w:val="32"/>
          <w:highlight w:val="none"/>
          <w:shd w:val="clear" w:fill="FFFFFF"/>
          <w:vertAlign w:val="baseline"/>
          <w:lang w:val="en-US" w:eastAsia="zh-CN" w:bidi="ar"/>
        </w:rPr>
        <w:t>给予</w:t>
      </w:r>
      <w:r>
        <w:rPr>
          <w:rFonts w:hint="eastAsia" w:ascii="仿宋" w:hAnsi="仿宋" w:eastAsia="仿宋" w:cs="仿宋"/>
          <w:b/>
          <w:bCs/>
          <w:i w:val="0"/>
          <w:iCs w:val="0"/>
          <w:caps w:val="0"/>
          <w:strike w:val="0"/>
          <w:color w:val="auto"/>
          <w:spacing w:val="0"/>
          <w:kern w:val="0"/>
          <w:sz w:val="32"/>
          <w:szCs w:val="32"/>
          <w:highlight w:val="none"/>
          <w:shd w:val="clear" w:fill="FFFFFF"/>
          <w:vertAlign w:val="baseline"/>
          <w:lang w:val="en-US" w:eastAsia="zh-CN" w:bidi="ar"/>
        </w:rPr>
        <w:t>经营团队</w:t>
      </w:r>
      <w:r>
        <w:rPr>
          <w:rFonts w:hint="eastAsia" w:ascii="仿宋" w:hAnsi="仿宋" w:eastAsia="仿宋" w:cs="仿宋"/>
          <w:b w:val="0"/>
          <w:i w:val="0"/>
          <w:iCs w:val="0"/>
          <w:caps w:val="0"/>
          <w:strike w:val="0"/>
          <w:color w:val="auto"/>
          <w:spacing w:val="0"/>
          <w:kern w:val="0"/>
          <w:sz w:val="32"/>
          <w:szCs w:val="32"/>
          <w:highlight w:val="none"/>
          <w:shd w:val="clear" w:fill="FFFFFF"/>
          <w:vertAlign w:val="baseline"/>
          <w:lang w:val="en-US" w:eastAsia="zh-CN" w:bidi="ar"/>
        </w:rPr>
        <w:t>一次性奖励。奖励标准为：融资金额在10亿元（含）人民币以上或等值外币的，奖励200万元；融资金额在5亿元（含）-10亿元人民币或等值外币的，奖励150万元；融资金额在2亿元（含）-5亿元人民币或等值外币的，奖励100万元；融资金额在5000万元（含）-2亿元人民币或等值外币的，奖励50万元。其中，境外上市包括企业或其存在控股关系的关联公司到境外上市，外币折算价格按上市当日国家外汇管理局公布的汇率中间价计算（下同）。</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iCs w:val="0"/>
          <w:caps w:val="0"/>
          <w:strike w:val="0"/>
          <w:color w:val="auto"/>
          <w:spacing w:val="0"/>
          <w:kern w:val="0"/>
          <w:sz w:val="32"/>
          <w:szCs w:val="32"/>
          <w:highlight w:val="none"/>
          <w:shd w:val="clear" w:fill="FFFFFF"/>
          <w:vertAlign w:val="baseline"/>
          <w:lang w:val="en-US" w:eastAsia="zh-CN" w:bidi="ar"/>
        </w:rPr>
      </w:pPr>
      <w:r>
        <w:rPr>
          <w:rFonts w:hint="eastAsia" w:ascii="仿宋" w:hAnsi="仿宋" w:eastAsia="仿宋" w:cs="仿宋"/>
          <w:i w:val="0"/>
          <w:iCs w:val="0"/>
          <w:caps w:val="0"/>
          <w:strike w:val="0"/>
          <w:color w:val="auto"/>
          <w:spacing w:val="0"/>
          <w:sz w:val="32"/>
          <w:szCs w:val="32"/>
          <w:highlight w:val="none"/>
          <w:u w:val="none"/>
          <w:shd w:val="clear" w:fill="FFFFFF"/>
          <w:lang w:eastAsia="zh-CN"/>
        </w:rPr>
        <w:t>企业通过收购兼并或其它方式将市域外上市公司</w:t>
      </w:r>
      <w:r>
        <w:rPr>
          <w:rFonts w:hint="eastAsia" w:ascii="仿宋" w:hAnsi="仿宋" w:eastAsia="仿宋" w:cs="仿宋"/>
          <w:b w:val="0"/>
          <w:i w:val="0"/>
          <w:iCs w:val="0"/>
          <w:caps w:val="0"/>
          <w:strike w:val="0"/>
          <w:color w:val="auto"/>
          <w:spacing w:val="0"/>
          <w:kern w:val="0"/>
          <w:sz w:val="32"/>
          <w:szCs w:val="32"/>
          <w:highlight w:val="none"/>
          <w:shd w:val="clear" w:fill="FFFFFF"/>
          <w:vertAlign w:val="baseline"/>
          <w:lang w:val="en-US" w:eastAsia="zh-CN" w:bidi="ar"/>
        </w:rPr>
        <w:t>注册地及纳税地迁至我区的，给予企业经营团队一次性奖励，奖励标准为：以在我区注册登记之日的公司市值为准，50亿元以内奖励500万元，50亿元（含）—100亿元奖励1000万元，100亿元（含）—500亿元奖励1500万元，500亿元（含）以上的奖励2000万元，分四年每年按照奖励标准25%的比例兑现，兑现金额不超过企业当年度区级经济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第五条 新三板挂牌奖励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企业进入全国中小企业股份转让系统（新三板）挂牌的，在基础层挂牌的，给予100万元奖励，在创新层挂牌的，给予200万元奖励；基础层的挂牌企业首次调整进入创新层的，给予补足100万元差额奖励。鼓励新三板企业积极向北交所、科创板、创业板等转板，转板上市后可补足扶持差额。</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2" w:firstLineChars="20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第六条 返投奖励</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default" w:ascii="仿宋" w:hAnsi="仿宋" w:eastAsia="仿宋_GB2312" w:cs="仿宋"/>
          <w:i w:val="0"/>
          <w:iCs w:val="0"/>
          <w:caps w:val="0"/>
          <w:strike w:val="0"/>
          <w:color w:val="auto"/>
          <w:spacing w:val="0"/>
          <w:sz w:val="32"/>
          <w:szCs w:val="32"/>
          <w:highlight w:val="none"/>
          <w:u w:val="none"/>
          <w:shd w:val="clear" w:fill="FFFFFF"/>
          <w:lang w:eastAsia="zh-CN"/>
        </w:rPr>
      </w:pPr>
      <w:r>
        <w:rPr>
          <w:rFonts w:hint="eastAsia" w:ascii="仿宋" w:hAnsi="仿宋" w:eastAsia="仿宋" w:cs="仿宋"/>
          <w:b w:val="0"/>
          <w:i w:val="0"/>
          <w:caps w:val="0"/>
          <w:strike w:val="0"/>
          <w:color w:val="auto"/>
          <w:spacing w:val="0"/>
          <w:kern w:val="0"/>
          <w:sz w:val="32"/>
          <w:szCs w:val="32"/>
          <w:highlight w:val="none"/>
          <w:shd w:val="clear" w:fill="FFFFFF"/>
          <w:vertAlign w:val="baseline"/>
          <w:lang w:val="en-US" w:eastAsia="zh-CN" w:bidi="ar"/>
        </w:rPr>
        <w:t>企业在境内外资本市场上市后，将募集资金用于投资我区实体经济的（房地产除外），按照对我区实体经济投资金额1%给予一次性奖励，奖励金额最高不超过1000万元。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第七条 申请流程</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上述第三条及第五条补助或奖励，按免申即享给予企业扶持;</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420" w:right="0" w:firstLine="0"/>
        <w:jc w:val="left"/>
        <w:rPr>
          <w:rFonts w:hint="eastAsia" w:ascii="仿宋" w:hAnsi="仿宋" w:eastAsia="仿宋" w:cs="仿宋"/>
          <w:b w:val="0"/>
          <w:i w:val="0"/>
          <w:caps w:val="0"/>
          <w:strike/>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（二）申请本办法第四及第六条奖励政策的，企业应当提出书面申请及相关证明材料（申请表详见附件）。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bCs/>
          <w:i w:val="0"/>
          <w:caps w:val="0"/>
          <w:color w:val="auto"/>
          <w:spacing w:val="0"/>
          <w:kern w:val="0"/>
          <w:sz w:val="32"/>
          <w:szCs w:val="32"/>
          <w:highlight w:val="none"/>
          <w:shd w:val="clear" w:fill="FFFFFF"/>
          <w:vertAlign w:val="baseline"/>
          <w:lang w:val="en-US" w:eastAsia="zh-CN" w:bidi="ar"/>
        </w:rPr>
        <w:t>第八条 其它事项</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申请享受本办法扶持的企业应及时向中国（福建）自由贸易试验区厦门片区管理委员会（以下简称“厦门自贸委”）书面报告有关企业上市进展情况。</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 w:eastAsia="zh-CN" w:bidi="ar"/>
        </w:rPr>
        <w:t>本办法</w:t>
      </w: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相关条款与我区或我市其它区级扶持政策类同的，企业可按就高不重复原则申请享受。</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420" w:right="0" w:firstLine="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（三）本办法由厦门自贸委负责解释。施行期间如遇国家政策发生重大变化将及时进行修改调整。</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420" w:right="0" w:firstLine="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（四）本办法自发布之日起施行，有效期5年。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附件:厦门自贸片区企业上市扶持资金申请审核表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333333"/>
          <w:spacing w:val="0"/>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lef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right"/>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中国（福建）自由贸易试验区厦门片区管理委员会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20"/>
        <w:jc w:val="right"/>
        <w:rPr>
          <w:rFonts w:hint="eastAsia" w:ascii="仿宋" w:hAnsi="仿宋" w:eastAsia="仿宋" w:cs="仿宋"/>
          <w:sz w:val="32"/>
          <w:szCs w:val="32"/>
          <w:highlight w:val="none"/>
        </w:rPr>
      </w:pPr>
      <w:r>
        <w:rPr>
          <w:rFonts w:hint="eastAsia" w:ascii="仿宋" w:hAnsi="仿宋" w:eastAsia="仿宋" w:cs="仿宋"/>
          <w:b w:val="0"/>
          <w:i w:val="0"/>
          <w:caps w:val="0"/>
          <w:color w:val="auto"/>
          <w:spacing w:val="0"/>
          <w:kern w:val="0"/>
          <w:sz w:val="32"/>
          <w:szCs w:val="32"/>
          <w:highlight w:val="none"/>
          <w:shd w:val="clear" w:fill="FFFFFF"/>
          <w:vertAlign w:val="baseline"/>
          <w:lang w:val="en-US" w:eastAsia="zh-CN" w:bidi="ar"/>
        </w:rPr>
        <w:t>2022年1月××日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EF8A6"/>
    <w:multiLevelType w:val="singleLevel"/>
    <w:tmpl w:val="9F6EF8A6"/>
    <w:lvl w:ilvl="0" w:tentative="0">
      <w:start w:val="1"/>
      <w:numFmt w:val="chineseCounting"/>
      <w:suff w:val="nothing"/>
      <w:lvlText w:val="（%1）"/>
      <w:lvlJc w:val="left"/>
      <w:pPr>
        <w:ind w:left="0" w:firstLine="420"/>
      </w:pPr>
      <w:rPr>
        <w:rFonts w:hint="eastAsia"/>
      </w:rPr>
    </w:lvl>
  </w:abstractNum>
  <w:abstractNum w:abstractNumId="1">
    <w:nsid w:val="FF3E7ED2"/>
    <w:multiLevelType w:val="singleLevel"/>
    <w:tmpl w:val="FF3E7ED2"/>
    <w:lvl w:ilvl="0" w:tentative="0">
      <w:start w:val="1"/>
      <w:numFmt w:val="chineseCounting"/>
      <w:suff w:val="nothing"/>
      <w:lvlText w:val="（%1）"/>
      <w:lvlJc w:val="left"/>
      <w:rPr>
        <w:rFonts w:hint="eastAsia"/>
      </w:rPr>
    </w:lvl>
  </w:abstractNum>
  <w:abstractNum w:abstractNumId="2">
    <w:nsid w:val="433E6D2A"/>
    <w:multiLevelType w:val="singleLevel"/>
    <w:tmpl w:val="433E6D2A"/>
    <w:lvl w:ilvl="0" w:tentative="0">
      <w:start w:val="1"/>
      <w:numFmt w:val="chineseCounting"/>
      <w:suff w:val="nothing"/>
      <w:lvlText w:val="（%1）"/>
      <w:lvlJc w:val="left"/>
      <w:rPr>
        <w:rFonts w:hint="eastAsia"/>
      </w:rPr>
    </w:lvl>
  </w:abstractNum>
  <w:abstractNum w:abstractNumId="3">
    <w:nsid w:val="6375909A"/>
    <w:multiLevelType w:val="singleLevel"/>
    <w:tmpl w:val="6375909A"/>
    <w:lvl w:ilvl="0" w:tentative="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A5070"/>
    <w:rsid w:val="0BDFACCA"/>
    <w:rsid w:val="0BFFE0E8"/>
    <w:rsid w:val="0D250FC9"/>
    <w:rsid w:val="0FDE0200"/>
    <w:rsid w:val="128D6FC9"/>
    <w:rsid w:val="13881D6C"/>
    <w:rsid w:val="145512C8"/>
    <w:rsid w:val="16D56722"/>
    <w:rsid w:val="17F9A9CD"/>
    <w:rsid w:val="1917583F"/>
    <w:rsid w:val="1AB5530F"/>
    <w:rsid w:val="1B6FE869"/>
    <w:rsid w:val="1D022362"/>
    <w:rsid w:val="1DDE692B"/>
    <w:rsid w:val="1E6A914C"/>
    <w:rsid w:val="1EDFE4B2"/>
    <w:rsid w:val="1F6F7D39"/>
    <w:rsid w:val="1FFD655D"/>
    <w:rsid w:val="20DB35F6"/>
    <w:rsid w:val="219E6AFD"/>
    <w:rsid w:val="26A30712"/>
    <w:rsid w:val="274E4403"/>
    <w:rsid w:val="29FD5649"/>
    <w:rsid w:val="2B980A61"/>
    <w:rsid w:val="2F085E34"/>
    <w:rsid w:val="2F9B467C"/>
    <w:rsid w:val="305D5DD5"/>
    <w:rsid w:val="31774C75"/>
    <w:rsid w:val="33EFD566"/>
    <w:rsid w:val="35D6D3AE"/>
    <w:rsid w:val="36BFF0E1"/>
    <w:rsid w:val="36C26992"/>
    <w:rsid w:val="36FDF164"/>
    <w:rsid w:val="37AFD46F"/>
    <w:rsid w:val="3836588A"/>
    <w:rsid w:val="3A175247"/>
    <w:rsid w:val="3B56623F"/>
    <w:rsid w:val="3BEB954F"/>
    <w:rsid w:val="3BFF45E5"/>
    <w:rsid w:val="3C2F5992"/>
    <w:rsid w:val="3C6504EB"/>
    <w:rsid w:val="3DB101F5"/>
    <w:rsid w:val="3DF53045"/>
    <w:rsid w:val="3DFDA964"/>
    <w:rsid w:val="3DFFA277"/>
    <w:rsid w:val="3E4D06EE"/>
    <w:rsid w:val="3EB7C744"/>
    <w:rsid w:val="3F7D73C8"/>
    <w:rsid w:val="3F7F50FE"/>
    <w:rsid w:val="3FBE040A"/>
    <w:rsid w:val="3FDB608D"/>
    <w:rsid w:val="3FFE453E"/>
    <w:rsid w:val="41961147"/>
    <w:rsid w:val="497FA656"/>
    <w:rsid w:val="49C7391C"/>
    <w:rsid w:val="4A5B4CDC"/>
    <w:rsid w:val="4CC84603"/>
    <w:rsid w:val="537F767B"/>
    <w:rsid w:val="55DFC082"/>
    <w:rsid w:val="55FFE7F2"/>
    <w:rsid w:val="5657F495"/>
    <w:rsid w:val="57BB1738"/>
    <w:rsid w:val="57EF4140"/>
    <w:rsid w:val="58376020"/>
    <w:rsid w:val="5955E887"/>
    <w:rsid w:val="5AD525AA"/>
    <w:rsid w:val="5B5F4382"/>
    <w:rsid w:val="5B9518C0"/>
    <w:rsid w:val="5BAC69C7"/>
    <w:rsid w:val="5BD4259B"/>
    <w:rsid w:val="5BEB74D2"/>
    <w:rsid w:val="5E0207D1"/>
    <w:rsid w:val="5F33BD60"/>
    <w:rsid w:val="5F79449B"/>
    <w:rsid w:val="5F9F2A20"/>
    <w:rsid w:val="5FBB72E9"/>
    <w:rsid w:val="5FBD8487"/>
    <w:rsid w:val="5FE61255"/>
    <w:rsid w:val="5FFF5669"/>
    <w:rsid w:val="617FEE4E"/>
    <w:rsid w:val="622C5A88"/>
    <w:rsid w:val="65FDE634"/>
    <w:rsid w:val="66FAA959"/>
    <w:rsid w:val="67A5230C"/>
    <w:rsid w:val="68F95777"/>
    <w:rsid w:val="69FF0D41"/>
    <w:rsid w:val="69FF8B08"/>
    <w:rsid w:val="6A97E8B1"/>
    <w:rsid w:val="6CBD29F9"/>
    <w:rsid w:val="6CF9487C"/>
    <w:rsid w:val="6D7F2838"/>
    <w:rsid w:val="6DD9A9E1"/>
    <w:rsid w:val="6DED8175"/>
    <w:rsid w:val="6DF6D83C"/>
    <w:rsid w:val="6EAF437F"/>
    <w:rsid w:val="6EFFE35E"/>
    <w:rsid w:val="6F72C85E"/>
    <w:rsid w:val="6FCFD0BD"/>
    <w:rsid w:val="6FDECE6C"/>
    <w:rsid w:val="6FEF2B88"/>
    <w:rsid w:val="6FF260B6"/>
    <w:rsid w:val="7177A478"/>
    <w:rsid w:val="71FF43F3"/>
    <w:rsid w:val="71FFBA2E"/>
    <w:rsid w:val="72E4901C"/>
    <w:rsid w:val="73EDD4FD"/>
    <w:rsid w:val="74AF48D9"/>
    <w:rsid w:val="75F32865"/>
    <w:rsid w:val="75F68199"/>
    <w:rsid w:val="75F68768"/>
    <w:rsid w:val="75FC4D15"/>
    <w:rsid w:val="766DE3F9"/>
    <w:rsid w:val="76E5B9EE"/>
    <w:rsid w:val="777BCE51"/>
    <w:rsid w:val="777D64EF"/>
    <w:rsid w:val="77828C6D"/>
    <w:rsid w:val="77BB4CC6"/>
    <w:rsid w:val="77F3F20F"/>
    <w:rsid w:val="77F7B080"/>
    <w:rsid w:val="77F7D3A3"/>
    <w:rsid w:val="77F819C3"/>
    <w:rsid w:val="77FBB9BE"/>
    <w:rsid w:val="77FF0206"/>
    <w:rsid w:val="79254583"/>
    <w:rsid w:val="79ED1B5B"/>
    <w:rsid w:val="79FFAD54"/>
    <w:rsid w:val="7A7F2185"/>
    <w:rsid w:val="7AF5D868"/>
    <w:rsid w:val="7B3F60D2"/>
    <w:rsid w:val="7B672C2E"/>
    <w:rsid w:val="7BB76B52"/>
    <w:rsid w:val="7BBFB682"/>
    <w:rsid w:val="7BEF0C3B"/>
    <w:rsid w:val="7BF1C2BF"/>
    <w:rsid w:val="7BF5A731"/>
    <w:rsid w:val="7BF81361"/>
    <w:rsid w:val="7BFDA379"/>
    <w:rsid w:val="7BFEAE4D"/>
    <w:rsid w:val="7C5E7A73"/>
    <w:rsid w:val="7CF5B6E3"/>
    <w:rsid w:val="7D1B37A1"/>
    <w:rsid w:val="7D37A003"/>
    <w:rsid w:val="7D6D4383"/>
    <w:rsid w:val="7DA7AAA1"/>
    <w:rsid w:val="7DCF8305"/>
    <w:rsid w:val="7DFD68A9"/>
    <w:rsid w:val="7DFE4F8D"/>
    <w:rsid w:val="7EBF54E9"/>
    <w:rsid w:val="7ECF374B"/>
    <w:rsid w:val="7EDAC182"/>
    <w:rsid w:val="7EF6E98F"/>
    <w:rsid w:val="7EFE3CDB"/>
    <w:rsid w:val="7EFF6CC2"/>
    <w:rsid w:val="7F27C573"/>
    <w:rsid w:val="7F5DD7E9"/>
    <w:rsid w:val="7F67CB14"/>
    <w:rsid w:val="7F7BE9BF"/>
    <w:rsid w:val="7F7F7E0A"/>
    <w:rsid w:val="7F8EEDC5"/>
    <w:rsid w:val="7F9E300C"/>
    <w:rsid w:val="7FAFBFBA"/>
    <w:rsid w:val="7FB1C22E"/>
    <w:rsid w:val="7FDEE725"/>
    <w:rsid w:val="7FE9A42B"/>
    <w:rsid w:val="7FE9F9F0"/>
    <w:rsid w:val="7FF7F438"/>
    <w:rsid w:val="7FFD011F"/>
    <w:rsid w:val="96FF53EC"/>
    <w:rsid w:val="99EEE4C5"/>
    <w:rsid w:val="9F7E8398"/>
    <w:rsid w:val="9F9ED3C0"/>
    <w:rsid w:val="9FF5C743"/>
    <w:rsid w:val="9FFD6395"/>
    <w:rsid w:val="A37FF87B"/>
    <w:rsid w:val="A637649D"/>
    <w:rsid w:val="A6F6EF33"/>
    <w:rsid w:val="AAEF3C18"/>
    <w:rsid w:val="AE3FF002"/>
    <w:rsid w:val="AFCFDC50"/>
    <w:rsid w:val="B2FD5F1D"/>
    <w:rsid w:val="B6EF9A36"/>
    <w:rsid w:val="B7FFCEE8"/>
    <w:rsid w:val="B9F7FA8F"/>
    <w:rsid w:val="BA9EAB40"/>
    <w:rsid w:val="BB660886"/>
    <w:rsid w:val="BB6A8029"/>
    <w:rsid w:val="BDBD9FCC"/>
    <w:rsid w:val="BF7A7A5B"/>
    <w:rsid w:val="BF7D0E99"/>
    <w:rsid w:val="BFEF86A4"/>
    <w:rsid w:val="BFF5B0F0"/>
    <w:rsid w:val="BFF5E066"/>
    <w:rsid w:val="BFF6C707"/>
    <w:rsid w:val="BFF7BC04"/>
    <w:rsid w:val="BFFD71BD"/>
    <w:rsid w:val="BFFDAFC2"/>
    <w:rsid w:val="C6BE2124"/>
    <w:rsid w:val="CD77FD67"/>
    <w:rsid w:val="CD7F6279"/>
    <w:rsid w:val="CDD50065"/>
    <w:rsid w:val="CDEBB50C"/>
    <w:rsid w:val="CF7D6DA3"/>
    <w:rsid w:val="D32F1597"/>
    <w:rsid w:val="D75F7B54"/>
    <w:rsid w:val="D7F7A881"/>
    <w:rsid w:val="D7FF8A07"/>
    <w:rsid w:val="D9EB2ED7"/>
    <w:rsid w:val="D9F7CFFF"/>
    <w:rsid w:val="DBEF76CD"/>
    <w:rsid w:val="DCFE782E"/>
    <w:rsid w:val="DDBD9176"/>
    <w:rsid w:val="DECED59F"/>
    <w:rsid w:val="DEFFE155"/>
    <w:rsid w:val="DF9FD9B0"/>
    <w:rsid w:val="DFDB565F"/>
    <w:rsid w:val="DFDF9588"/>
    <w:rsid w:val="DFEFC55D"/>
    <w:rsid w:val="DFF52597"/>
    <w:rsid w:val="DFFE7A3A"/>
    <w:rsid w:val="DFFF806E"/>
    <w:rsid w:val="E6FF360B"/>
    <w:rsid w:val="E7AE5F96"/>
    <w:rsid w:val="E7DFE27C"/>
    <w:rsid w:val="E9EF8980"/>
    <w:rsid w:val="EA560858"/>
    <w:rsid w:val="EAE62897"/>
    <w:rsid w:val="EAF74019"/>
    <w:rsid w:val="EB3FFCC7"/>
    <w:rsid w:val="EBAD0741"/>
    <w:rsid w:val="EC7E5250"/>
    <w:rsid w:val="EDB42E13"/>
    <w:rsid w:val="EE7B47D0"/>
    <w:rsid w:val="EEBF3D3A"/>
    <w:rsid w:val="EFB7D5F5"/>
    <w:rsid w:val="EFCFD958"/>
    <w:rsid w:val="EFD7994D"/>
    <w:rsid w:val="EFF57F0D"/>
    <w:rsid w:val="EFF92163"/>
    <w:rsid w:val="EFFE349C"/>
    <w:rsid w:val="F1CD3ED1"/>
    <w:rsid w:val="F2AF6BA6"/>
    <w:rsid w:val="F3E71721"/>
    <w:rsid w:val="F5774AFC"/>
    <w:rsid w:val="F7ABBA13"/>
    <w:rsid w:val="F7BF47C2"/>
    <w:rsid w:val="F7FEBFCF"/>
    <w:rsid w:val="F7FEFEC8"/>
    <w:rsid w:val="F89D8CD2"/>
    <w:rsid w:val="F9F78804"/>
    <w:rsid w:val="FAFDB982"/>
    <w:rsid w:val="FB2DC283"/>
    <w:rsid w:val="FBAF6763"/>
    <w:rsid w:val="FBEA8F1C"/>
    <w:rsid w:val="FC3F906A"/>
    <w:rsid w:val="FCE7315F"/>
    <w:rsid w:val="FCEB53C9"/>
    <w:rsid w:val="FCFEA50B"/>
    <w:rsid w:val="FD1D358C"/>
    <w:rsid w:val="FD67680A"/>
    <w:rsid w:val="FDD6B3FE"/>
    <w:rsid w:val="FDED8EB4"/>
    <w:rsid w:val="FE7E1C6B"/>
    <w:rsid w:val="FED54B77"/>
    <w:rsid w:val="FEFBB388"/>
    <w:rsid w:val="FEFF9AF4"/>
    <w:rsid w:val="FF57BB11"/>
    <w:rsid w:val="FF75BAEB"/>
    <w:rsid w:val="FF7E3505"/>
    <w:rsid w:val="FF7F096F"/>
    <w:rsid w:val="FFB4BAA5"/>
    <w:rsid w:val="FFD6756F"/>
    <w:rsid w:val="FFD79D83"/>
    <w:rsid w:val="FFDFBCDF"/>
    <w:rsid w:val="FFE73838"/>
    <w:rsid w:val="FFE73FFE"/>
    <w:rsid w:val="FFF757CF"/>
    <w:rsid w:val="FFFF11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赵文武</dc:creator>
  <cp:lastModifiedBy>赵文武</cp:lastModifiedBy>
  <cp:lastPrinted>2021-12-24T21:09:00Z</cp:lastPrinted>
  <dcterms:modified xsi:type="dcterms:W3CDTF">2022-01-18T16:50:32Z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2052-11.8.2.9601</vt:lpwstr>
  </property>
  <property fmtid="{D5CDD505-2E9C-101B-9397-08002B2CF9AE}" pid="3" name="ICV">
    <vt:lpwstr>E94FCE88837E480E8DF671243B7D229C</vt:lpwstr>
  </property>
</Properties>
</file>